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4A30B6">
      <w:pPr>
        <w:framePr w:wrap="auto" w:vAnchor="margin" w:hAnchor="text" w:yAlign="inline"/>
        <w:spacing w:line="360" w:lineRule="auto"/>
        <w:rPr>
          <w:rFonts w:ascii="黑体" w:hAnsi="黑体" w:eastAsia="黑体" w:cs="黑体"/>
          <w:sz w:val="32"/>
          <w:szCs w:val="32"/>
        </w:rPr>
      </w:pPr>
    </w:p>
    <w:p w14:paraId="1D306905">
      <w:pPr>
        <w:framePr w:wrap="auto" w:vAnchor="margin" w:hAnchor="text" w:yAlign="inline"/>
        <w:spacing w:line="360" w:lineRule="auto"/>
        <w:jc w:val="center"/>
        <w:rPr>
          <w:rFonts w:ascii="黑体" w:hAnsi="黑体" w:eastAsia="黑体" w:cs="黑体"/>
          <w:sz w:val="32"/>
          <w:szCs w:val="32"/>
          <w:lang w:val="zh-TW" w:eastAsia="zh-TW"/>
        </w:rPr>
      </w:pPr>
      <w:r>
        <w:rPr>
          <w:rFonts w:hint="eastAsia" w:ascii="黑体" w:hAnsi="黑体" w:eastAsia="黑体" w:cs="黑体"/>
          <w:b w:val="0"/>
          <w:bCs w:val="0"/>
          <w:i w:val="0"/>
          <w:iCs w:val="0"/>
          <w:caps w:val="0"/>
          <w:smallCaps w:val="0"/>
          <w:strike w:val="0"/>
          <w:dstrike w:val="0"/>
          <w:outline w:val="0"/>
          <w:emboss w:val="0"/>
          <w:imprint w:val="0"/>
          <w:vanish w:val="0"/>
          <w:sz w:val="32"/>
          <w:szCs w:val="32"/>
          <w:rtl w:val="0"/>
          <w:lang w:val="en-US" w:eastAsia="zh-CN"/>
        </w:rPr>
        <w:t>《校园团餐服务企业星级评价技术规范》编制说明</w:t>
      </w:r>
    </w:p>
    <w:p w14:paraId="026FD023">
      <w:pPr>
        <w:framePr w:wrap="auto" w:vAnchor="margin" w:hAnchor="text" w:yAlign="inline"/>
        <w:jc w:val="center"/>
        <w:rPr>
          <w:outline w:val="0"/>
          <w:color w:val="000000"/>
          <w:u w:color="000000"/>
        </w:rPr>
      </w:pPr>
    </w:p>
    <w:tbl>
      <w:tblPr>
        <w:tblStyle w:val="3"/>
        <w:tblW w:w="9384"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10" w:type="dxa"/>
          <w:bottom w:w="0" w:type="dxa"/>
          <w:right w:w="10" w:type="dxa"/>
        </w:tblCellMar>
      </w:tblPr>
      <w:tblGrid>
        <w:gridCol w:w="1773"/>
        <w:gridCol w:w="102"/>
        <w:gridCol w:w="1303"/>
        <w:gridCol w:w="2790"/>
        <w:gridCol w:w="1260"/>
        <w:gridCol w:w="2156"/>
      </w:tblGrid>
      <w:tr w14:paraId="4DA9619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639" w:hRule="atLeast"/>
          <w:jc w:val="center"/>
        </w:trPr>
        <w:tc>
          <w:tcPr>
            <w:tcW w:w="9384"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3A9B2CA">
            <w:pPr>
              <w:framePr w:wrap="auto" w:vAnchor="margin" w:hAnchor="text" w:yAlign="inline"/>
              <w:jc w:val="center"/>
            </w:pPr>
            <w:r>
              <w:rPr>
                <w:rFonts w:hint="eastAsia" w:eastAsia="宋体"/>
                <w:sz w:val="28"/>
                <w:szCs w:val="28"/>
                <w:shd w:val="clear" w:color="auto" w:fill="auto"/>
                <w:rtl w:val="0"/>
                <w:lang w:val="zh-TW" w:eastAsia="zh-TW"/>
              </w:rPr>
              <w:t>基本信息</w:t>
            </w:r>
          </w:p>
        </w:tc>
      </w:tr>
      <w:tr w14:paraId="7914E12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210" w:hRule="atLeast"/>
          <w:jc w:val="center"/>
        </w:trPr>
        <w:tc>
          <w:tcPr>
            <w:tcW w:w="1875" w:type="dxa"/>
            <w:gridSpan w:val="2"/>
            <w:vMerge w:val="restart"/>
            <w:tcBorders>
              <w:top w:val="single" w:color="000000" w:sz="4" w:space="0"/>
              <w:left w:val="single" w:color="000000" w:sz="4" w:space="0"/>
              <w:bottom w:val="single" w:color="000000" w:sz="6" w:space="0"/>
              <w:right w:val="single" w:color="000000" w:sz="4" w:space="0"/>
            </w:tcBorders>
            <w:shd w:val="clear" w:color="auto" w:fill="auto"/>
            <w:tcMar>
              <w:top w:w="80" w:type="dxa"/>
              <w:left w:w="80" w:type="dxa"/>
              <w:bottom w:w="80" w:type="dxa"/>
              <w:right w:w="256" w:type="dxa"/>
            </w:tcMar>
            <w:vAlign w:val="center"/>
          </w:tcPr>
          <w:p w14:paraId="33EBD860">
            <w:pPr>
              <w:framePr w:wrap="auto" w:vAnchor="margin" w:hAnchor="text" w:yAlign="inline"/>
              <w:ind w:right="176"/>
              <w:jc w:val="left"/>
              <w:rPr>
                <w:rFonts w:hint="eastAsia" w:eastAsia="宋体"/>
                <w:lang w:val="en-US" w:eastAsia="zh-CN"/>
              </w:rPr>
            </w:pPr>
            <w:r>
              <w:rPr>
                <w:rFonts w:hint="eastAsia" w:eastAsia="宋体"/>
                <w:shd w:val="clear" w:color="auto" w:fill="auto"/>
                <w:rtl w:val="0"/>
                <w:lang w:val="zh-TW" w:eastAsia="zh-TW"/>
              </w:rPr>
              <w:t>标准草案</w:t>
            </w:r>
            <w:r>
              <w:rPr>
                <w:rFonts w:hint="eastAsia" w:eastAsia="宋体"/>
                <w:shd w:val="clear" w:color="auto" w:fill="auto"/>
                <w:rtl w:val="0"/>
                <w:lang w:val="en-US" w:eastAsia="zh-CN"/>
              </w:rPr>
              <w:t>名称</w:t>
            </w:r>
          </w:p>
        </w:tc>
        <w:tc>
          <w:tcPr>
            <w:tcW w:w="13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1C9DE1C">
            <w:pPr>
              <w:framePr w:wrap="auto" w:vAnchor="margin" w:hAnchor="text" w:yAlign="inline"/>
              <w:jc w:val="center"/>
            </w:pPr>
            <w:r>
              <w:rPr>
                <w:rFonts w:hint="eastAsia" w:eastAsia="宋体"/>
                <w:shd w:val="clear" w:color="auto" w:fill="auto"/>
                <w:rtl w:val="0"/>
                <w:lang w:val="zh-TW" w:eastAsia="zh-TW"/>
              </w:rPr>
              <w:t>中文</w:t>
            </w:r>
          </w:p>
        </w:tc>
        <w:tc>
          <w:tcPr>
            <w:tcW w:w="6206"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B78CA17">
            <w:pPr>
              <w:framePr w:wrap="auto" w:vAnchor="margin" w:hAnchor="text" w:yAlign="inline"/>
            </w:pPr>
            <w:r>
              <w:rPr>
                <w:rFonts w:hint="eastAsia" w:eastAsia="宋体"/>
                <w:b w:val="0"/>
                <w:bCs w:val="0"/>
                <w:i w:val="0"/>
                <w:iCs w:val="0"/>
                <w:caps w:val="0"/>
                <w:smallCaps w:val="0"/>
                <w:strike w:val="0"/>
                <w:dstrike w:val="0"/>
                <w:outline w:val="0"/>
                <w:emboss w:val="0"/>
                <w:imprint w:val="0"/>
                <w:vanish w:val="0"/>
                <w:shd w:val="clear" w:color="auto" w:fill="auto"/>
                <w:rtl w:val="0"/>
                <w:lang w:val="en-US" w:eastAsia="zh-CN"/>
              </w:rPr>
              <w:t>校园团餐服务企业星级评价技术规范</w:t>
            </w:r>
          </w:p>
        </w:tc>
      </w:tr>
      <w:tr w14:paraId="2C5EBD2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658" w:hRule="atLeast"/>
          <w:jc w:val="center"/>
        </w:trPr>
        <w:tc>
          <w:tcPr>
            <w:tcW w:w="1875" w:type="dxa"/>
            <w:gridSpan w:val="2"/>
            <w:vMerge w:val="continue"/>
            <w:tcBorders>
              <w:top w:val="single" w:color="000000" w:sz="4" w:space="0"/>
              <w:left w:val="single" w:color="000000" w:sz="4" w:space="0"/>
              <w:bottom w:val="single" w:color="000000" w:sz="6" w:space="0"/>
              <w:right w:val="single" w:color="000000" w:sz="4" w:space="0"/>
            </w:tcBorders>
            <w:shd w:val="clear" w:color="auto" w:fill="auto"/>
          </w:tcPr>
          <w:p w14:paraId="4372602E"/>
        </w:tc>
        <w:tc>
          <w:tcPr>
            <w:tcW w:w="1303" w:type="dxa"/>
            <w:tcBorders>
              <w:top w:val="single" w:color="000000" w:sz="4" w:space="0"/>
              <w:left w:val="single" w:color="000000" w:sz="4" w:space="0"/>
              <w:bottom w:val="single" w:color="000000" w:sz="6" w:space="0"/>
              <w:right w:val="single" w:color="000000" w:sz="4" w:space="0"/>
            </w:tcBorders>
            <w:shd w:val="clear" w:color="auto" w:fill="auto"/>
            <w:tcMar>
              <w:top w:w="80" w:type="dxa"/>
              <w:left w:w="80" w:type="dxa"/>
              <w:bottom w:w="80" w:type="dxa"/>
              <w:right w:w="80" w:type="dxa"/>
            </w:tcMar>
            <w:vAlign w:val="center"/>
          </w:tcPr>
          <w:p w14:paraId="708F34F7">
            <w:pPr>
              <w:framePr w:wrap="auto" w:vAnchor="margin" w:hAnchor="text" w:yAlign="inline"/>
              <w:jc w:val="center"/>
            </w:pPr>
            <w:r>
              <w:rPr>
                <w:rFonts w:hint="eastAsia" w:eastAsia="宋体"/>
                <w:shd w:val="clear" w:color="auto" w:fill="auto"/>
                <w:rtl w:val="0"/>
                <w:lang w:val="zh-TW" w:eastAsia="zh-TW"/>
              </w:rPr>
              <w:t>英文</w:t>
            </w:r>
          </w:p>
        </w:tc>
        <w:tc>
          <w:tcPr>
            <w:tcW w:w="6206" w:type="dxa"/>
            <w:gridSpan w:val="3"/>
            <w:tcBorders>
              <w:top w:val="single" w:color="000000" w:sz="4"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vAlign w:val="center"/>
          </w:tcPr>
          <w:p w14:paraId="19F9478F">
            <w:pPr>
              <w:framePr w:wrap="auto" w:vAnchor="margin" w:hAnchor="text" w:yAlign="inline"/>
              <w:shd w:val="clear" w:color="auto" w:fill="auto"/>
              <w:rPr>
                <w:rFonts w:ascii="Times New Roman" w:hAnsi="Times New Roman"/>
                <w:b w:val="0"/>
                <w:bCs w:val="0"/>
                <w:i w:val="0"/>
                <w:iCs w:val="0"/>
                <w:caps w:val="0"/>
                <w:smallCaps w:val="0"/>
                <w:strike w:val="0"/>
                <w:dstrike w:val="0"/>
                <w:outline w:val="0"/>
                <w:emboss w:val="0"/>
                <w:imprint w:val="0"/>
                <w:vanish w:val="0"/>
                <w:shd w:val="clear" w:color="auto" w:fill="auto"/>
                <w:rtl w:val="0"/>
                <w:lang w:val="en-US"/>
              </w:rPr>
            </w:pP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rPr>
              <w:t xml:space="preserve">Technical </w:t>
            </w: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eastAsia="zh-CN"/>
              </w:rPr>
              <w:t>s</w:t>
            </w: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rPr>
              <w:t xml:space="preserve">pecifications for </w:t>
            </w: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eastAsia="zh-CN"/>
              </w:rPr>
              <w:t>s</w:t>
            </w: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rPr>
              <w:t>tar-</w:t>
            </w: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eastAsia="zh-CN"/>
              </w:rPr>
              <w:t>r</w:t>
            </w: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rPr>
              <w:t xml:space="preserve">ating </w:t>
            </w: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eastAsia="zh-CN"/>
              </w:rPr>
              <w:t>e</w:t>
            </w: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rPr>
              <w:t xml:space="preserve">valuation of </w:t>
            </w: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eastAsia="zh-CN"/>
              </w:rPr>
              <w:t>c</w:t>
            </w: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rPr>
              <w:t xml:space="preserve">ampus </w:t>
            </w: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eastAsia="zh-CN"/>
              </w:rPr>
              <w:t>g</w:t>
            </w: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rPr>
              <w:t xml:space="preserve">roup </w:t>
            </w: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eastAsia="zh-CN"/>
              </w:rPr>
              <w:t>m</w:t>
            </w: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rPr>
              <w:t xml:space="preserve">eal </w:t>
            </w: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eastAsia="zh-CN"/>
              </w:rPr>
              <w:t>s</w:t>
            </w: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rPr>
              <w:t xml:space="preserve">ervice </w:t>
            </w: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eastAsia="zh-CN"/>
              </w:rPr>
              <w:t>e</w:t>
            </w:r>
            <w:r>
              <w:rPr>
                <w:rFonts w:hint="eastAsia" w:ascii="Times New Roman" w:hAnsi="Times New Roman"/>
                <w:b w:val="0"/>
                <w:bCs w:val="0"/>
                <w:i w:val="0"/>
                <w:iCs w:val="0"/>
                <w:caps w:val="0"/>
                <w:smallCaps w:val="0"/>
                <w:strike w:val="0"/>
                <w:dstrike w:val="0"/>
                <w:outline w:val="0"/>
                <w:emboss w:val="0"/>
                <w:imprint w:val="0"/>
                <w:vanish w:val="0"/>
                <w:shd w:val="clear" w:color="auto" w:fill="auto"/>
                <w:rtl w:val="0"/>
                <w:lang w:val="en-US"/>
              </w:rPr>
              <w:t>nterprises</w:t>
            </w:r>
          </w:p>
          <w:p w14:paraId="7E14A8BF">
            <w:pPr>
              <w:framePr w:wrap="auto" w:vAnchor="margin" w:hAnchor="text" w:yAlign="inline"/>
              <w:rPr>
                <w:rFonts w:ascii="Times New Roman" w:hAnsi="Times New Roman"/>
                <w:shd w:val="clear" w:color="auto" w:fill="auto"/>
                <w:rtl w:val="0"/>
                <w:lang w:val="en-US"/>
              </w:rPr>
            </w:pPr>
          </w:p>
        </w:tc>
      </w:tr>
      <w:tr w14:paraId="50B8F67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472" w:hRule="atLeast"/>
          <w:jc w:val="center"/>
        </w:trPr>
        <w:tc>
          <w:tcPr>
            <w:tcW w:w="1875" w:type="dxa"/>
            <w:gridSpan w:val="2"/>
            <w:tcBorders>
              <w:top w:val="single" w:color="000000" w:sz="6" w:space="0"/>
              <w:left w:val="single" w:color="000000" w:sz="6" w:space="0"/>
              <w:bottom w:val="single" w:color="000000" w:sz="6" w:space="0"/>
              <w:right w:val="single" w:color="000000" w:sz="4" w:space="0"/>
            </w:tcBorders>
            <w:shd w:val="clear" w:color="auto" w:fill="auto"/>
            <w:tcMar>
              <w:top w:w="80" w:type="dxa"/>
              <w:left w:w="80" w:type="dxa"/>
              <w:bottom w:w="80" w:type="dxa"/>
              <w:right w:w="256" w:type="dxa"/>
            </w:tcMar>
            <w:vAlign w:val="center"/>
          </w:tcPr>
          <w:p w14:paraId="370C42F9">
            <w:pPr>
              <w:framePr w:wrap="auto" w:vAnchor="margin" w:hAnchor="text" w:yAlign="inline"/>
              <w:ind w:right="176"/>
            </w:pPr>
            <w:r>
              <w:rPr>
                <w:rFonts w:hint="eastAsia" w:eastAsia="宋体"/>
                <w:shd w:val="clear" w:color="auto" w:fill="auto"/>
                <w:rtl w:val="0"/>
                <w:lang w:val="zh-TW" w:eastAsia="zh-TW"/>
              </w:rPr>
              <w:t>项目类型</w:t>
            </w:r>
          </w:p>
        </w:tc>
        <w:tc>
          <w:tcPr>
            <w:tcW w:w="4093" w:type="dxa"/>
            <w:gridSpan w:val="2"/>
            <w:tcBorders>
              <w:top w:val="single" w:color="000000" w:sz="6" w:space="0"/>
              <w:left w:val="single" w:color="000000" w:sz="4" w:space="0"/>
              <w:bottom w:val="single" w:color="000000" w:sz="6" w:space="0"/>
              <w:right w:val="single" w:color="000000" w:sz="4" w:space="0"/>
            </w:tcBorders>
            <w:shd w:val="clear" w:color="auto" w:fill="auto"/>
            <w:tcMar>
              <w:top w:w="80" w:type="dxa"/>
              <w:left w:w="80" w:type="dxa"/>
              <w:bottom w:w="80" w:type="dxa"/>
              <w:right w:w="80" w:type="dxa"/>
            </w:tcMar>
            <w:vAlign w:val="center"/>
          </w:tcPr>
          <w:p w14:paraId="336C9ED4">
            <w:pPr>
              <w:framePr w:wrap="auto" w:vAnchor="margin" w:hAnchor="text" w:yAlign="inline"/>
              <w:rPr>
                <w:rFonts w:ascii="Times New Roman" w:hAnsi="Times New Roman" w:eastAsia="Times New Roman" w:cs="Times New Roman"/>
                <w:kern w:val="0"/>
                <w:shd w:val="clear" w:color="auto" w:fill="auto"/>
              </w:rPr>
            </w:pPr>
            <w:r>
              <w:rPr>
                <w:rFonts w:hint="default" w:ascii="Arial Unicode MS" w:hAnsi="Arial Unicode MS" w:eastAsia="Arial Unicode MS" w:cs="Arial Unicode MS"/>
                <w:b w:val="0"/>
                <w:bCs w:val="0"/>
                <w:i w:val="0"/>
                <w:iCs w:val="0"/>
                <w:kern w:val="0"/>
                <w:shd w:val="clear" w:color="auto" w:fill="auto"/>
                <w:rtl w:val="0"/>
                <w:lang w:val="en-US"/>
              </w:rPr>
              <w:t>☑</w:t>
            </w:r>
            <w:r>
              <w:rPr>
                <w:rFonts w:hint="eastAsia" w:eastAsia="宋体"/>
                <w:kern w:val="0"/>
                <w:shd w:val="clear" w:color="auto" w:fill="auto"/>
                <w:rtl w:val="0"/>
                <w:lang w:val="zh-TW" w:eastAsia="zh-TW"/>
              </w:rPr>
              <w:t>制定</w:t>
            </w:r>
            <w:r>
              <w:rPr>
                <w:rFonts w:hint="default" w:ascii="Times New Roman" w:hAnsi="Times New Roman"/>
                <w:kern w:val="0"/>
                <w:shd w:val="clear" w:color="auto" w:fill="auto"/>
                <w:rtl w:val="0"/>
                <w:lang w:val="en-US"/>
              </w:rPr>
              <w:t xml:space="preserve">     □</w:t>
            </w:r>
            <w:r>
              <w:rPr>
                <w:rFonts w:hint="eastAsia" w:eastAsia="宋体"/>
                <w:kern w:val="0"/>
                <w:shd w:val="clear" w:color="auto" w:fill="auto"/>
                <w:rtl w:val="0"/>
                <w:lang w:val="zh-TW" w:eastAsia="zh-TW"/>
              </w:rPr>
              <w:t>修订</w:t>
            </w:r>
          </w:p>
          <w:p w14:paraId="31E0ECD6">
            <w:pPr>
              <w:framePr w:wrap="auto" w:vAnchor="margin" w:hAnchor="text" w:yAlign="inline"/>
              <w:bidi w:val="0"/>
              <w:ind w:left="0" w:right="0" w:firstLine="0"/>
              <w:jc w:val="both"/>
              <w:rPr>
                <w:rtl w:val="0"/>
              </w:rPr>
            </w:pPr>
            <w:r>
              <w:rPr>
                <w:rFonts w:hint="eastAsia" w:eastAsia="宋体"/>
                <w:shd w:val="clear" w:color="auto" w:fill="auto"/>
                <w:rtl w:val="0"/>
                <w:lang w:val="zh-TW" w:eastAsia="zh-TW"/>
              </w:rPr>
              <w:t>（被修订标准名称及编号：</w:t>
            </w:r>
            <w:r>
              <w:rPr>
                <w:rFonts w:ascii="Times New Roman" w:hAnsi="Times New Roman"/>
                <w:shd w:val="clear" w:color="auto" w:fill="auto"/>
                <w:rtl w:val="0"/>
                <w:lang w:val="en-US"/>
              </w:rPr>
              <w:t xml:space="preserve">          </w:t>
            </w:r>
            <w:r>
              <w:rPr>
                <w:rFonts w:hint="eastAsia" w:eastAsia="宋体"/>
                <w:shd w:val="clear" w:color="auto" w:fill="auto"/>
                <w:rtl w:val="0"/>
                <w:lang w:val="zh-TW" w:eastAsia="zh-TW"/>
              </w:rPr>
              <w:t>）</w:t>
            </w:r>
          </w:p>
        </w:tc>
        <w:tc>
          <w:tcPr>
            <w:tcW w:w="1260" w:type="dxa"/>
            <w:tcBorders>
              <w:top w:val="single" w:color="000000" w:sz="6" w:space="0"/>
              <w:left w:val="single" w:color="000000" w:sz="4" w:space="0"/>
              <w:bottom w:val="single" w:color="000000" w:sz="6" w:space="0"/>
              <w:right w:val="single" w:color="000000" w:sz="4" w:space="0"/>
            </w:tcBorders>
            <w:shd w:val="clear" w:color="auto" w:fill="auto"/>
            <w:tcMar>
              <w:top w:w="80" w:type="dxa"/>
              <w:left w:w="80" w:type="dxa"/>
              <w:bottom w:w="80" w:type="dxa"/>
              <w:right w:w="80" w:type="dxa"/>
            </w:tcMar>
            <w:vAlign w:val="center"/>
          </w:tcPr>
          <w:p w14:paraId="2D1DD9B0">
            <w:pPr>
              <w:framePr w:wrap="auto" w:vAnchor="margin" w:hAnchor="text" w:yAlign="inline"/>
              <w:jc w:val="center"/>
            </w:pPr>
            <w:r>
              <w:rPr>
                <w:rFonts w:hint="eastAsia" w:eastAsia="宋体"/>
                <w:shd w:val="clear" w:color="auto" w:fill="auto"/>
                <w:rtl w:val="0"/>
                <w:lang w:val="zh-TW" w:eastAsia="zh-TW"/>
              </w:rPr>
              <w:t>计划编号</w:t>
            </w:r>
          </w:p>
        </w:tc>
        <w:tc>
          <w:tcPr>
            <w:tcW w:w="2156" w:type="dxa"/>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vAlign w:val="center"/>
          </w:tcPr>
          <w:p w14:paraId="77ADF501"/>
        </w:tc>
      </w:tr>
      <w:tr w14:paraId="14EDADC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231" w:hRule="atLeast"/>
          <w:jc w:val="center"/>
        </w:trPr>
        <w:tc>
          <w:tcPr>
            <w:tcW w:w="1875"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256" w:type="dxa"/>
            </w:tcMar>
            <w:vAlign w:val="center"/>
          </w:tcPr>
          <w:p w14:paraId="1AE1EC58">
            <w:pPr>
              <w:framePr w:wrap="auto" w:vAnchor="margin" w:hAnchor="text" w:yAlign="inline"/>
              <w:ind w:right="176"/>
            </w:pPr>
            <w:r>
              <w:rPr>
                <w:rFonts w:hint="eastAsia" w:eastAsia="宋体"/>
                <w:shd w:val="clear" w:color="auto" w:fill="auto"/>
                <w:rtl w:val="0"/>
                <w:lang w:val="zh-TW" w:eastAsia="zh-TW"/>
              </w:rPr>
              <w:t>起止时间</w:t>
            </w:r>
          </w:p>
        </w:tc>
        <w:tc>
          <w:tcPr>
            <w:tcW w:w="7509"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14:paraId="60CBBAF4">
            <w:pPr>
              <w:framePr w:wrap="auto" w:vAnchor="margin" w:hAnchor="text" w:yAlign="inline"/>
              <w:jc w:val="center"/>
            </w:pPr>
            <w:r>
              <w:rPr>
                <w:rFonts w:ascii="Times New Roman" w:hAnsi="Times New Roman"/>
                <w:shd w:val="clear" w:color="auto" w:fill="auto"/>
                <w:rtl w:val="0"/>
                <w:lang w:val="en-US"/>
              </w:rPr>
              <w:t>202</w:t>
            </w:r>
            <w:r>
              <w:rPr>
                <w:rFonts w:hint="eastAsia" w:ascii="Times New Roman" w:hAnsi="Times New Roman"/>
                <w:shd w:val="clear" w:color="auto" w:fill="auto"/>
                <w:rtl w:val="0"/>
                <w:lang w:val="en-US" w:eastAsia="zh-CN"/>
              </w:rPr>
              <w:t>5</w:t>
            </w:r>
            <w:r>
              <w:rPr>
                <w:rFonts w:ascii="Times New Roman" w:hAnsi="Times New Roman"/>
                <w:shd w:val="clear" w:color="auto" w:fill="auto"/>
                <w:rtl w:val="0"/>
                <w:lang w:val="en-US"/>
              </w:rPr>
              <w:t xml:space="preserve"> </w:t>
            </w:r>
            <w:r>
              <w:rPr>
                <w:rFonts w:hint="eastAsia" w:eastAsia="宋体"/>
                <w:shd w:val="clear" w:color="auto" w:fill="auto"/>
                <w:rtl w:val="0"/>
                <w:lang w:val="zh-TW" w:eastAsia="zh-TW"/>
              </w:rPr>
              <w:t>年</w:t>
            </w:r>
            <w:r>
              <w:rPr>
                <w:rFonts w:hint="eastAsia" w:ascii="Times New Roman" w:hAnsi="Times New Roman" w:eastAsia="宋体"/>
                <w:shd w:val="clear" w:color="auto" w:fill="auto"/>
                <w:rtl w:val="0"/>
                <w:lang w:val="en-US" w:eastAsia="zh-CN"/>
              </w:rPr>
              <w:t>8</w:t>
            </w:r>
            <w:r>
              <w:rPr>
                <w:rFonts w:hint="eastAsia" w:eastAsia="宋体"/>
                <w:shd w:val="clear" w:color="auto" w:fill="auto"/>
                <w:rtl w:val="0"/>
                <w:lang w:val="zh-TW" w:eastAsia="zh-TW"/>
              </w:rPr>
              <w:t>月</w:t>
            </w:r>
            <w:r>
              <w:rPr>
                <w:rFonts w:ascii="Times New Roman" w:hAnsi="Times New Roman"/>
                <w:shd w:val="clear" w:color="auto" w:fill="auto"/>
                <w:rtl w:val="0"/>
                <w:lang w:val="en-US"/>
              </w:rPr>
              <w:t>--- 202</w:t>
            </w:r>
            <w:r>
              <w:rPr>
                <w:rFonts w:hint="eastAsia" w:ascii="Times New Roman" w:hAnsi="Times New Roman"/>
                <w:shd w:val="clear" w:color="auto" w:fill="auto"/>
                <w:rtl w:val="0"/>
                <w:lang w:val="en-US" w:eastAsia="zh-CN"/>
              </w:rPr>
              <w:t>6</w:t>
            </w:r>
            <w:r>
              <w:rPr>
                <w:rFonts w:ascii="Times New Roman" w:hAnsi="Times New Roman"/>
                <w:shd w:val="clear" w:color="auto" w:fill="auto"/>
                <w:rtl w:val="0"/>
                <w:lang w:val="en-US"/>
              </w:rPr>
              <w:t xml:space="preserve"> </w:t>
            </w:r>
            <w:r>
              <w:rPr>
                <w:rFonts w:hint="eastAsia" w:eastAsia="宋体"/>
                <w:shd w:val="clear" w:color="auto" w:fill="auto"/>
                <w:rtl w:val="0"/>
                <w:lang w:val="zh-TW" w:eastAsia="zh-TW"/>
              </w:rPr>
              <w:t>年</w:t>
            </w:r>
            <w:r>
              <w:rPr>
                <w:rFonts w:ascii="Times New Roman" w:hAnsi="Times New Roman"/>
                <w:shd w:val="clear" w:color="auto" w:fill="auto"/>
                <w:rtl w:val="0"/>
                <w:lang w:val="en-US"/>
              </w:rPr>
              <w:t xml:space="preserve"> </w:t>
            </w:r>
            <w:r>
              <w:rPr>
                <w:rFonts w:hint="eastAsia" w:ascii="Times New Roman" w:hAnsi="Times New Roman"/>
                <w:shd w:val="clear" w:color="auto" w:fill="auto"/>
                <w:rtl w:val="0"/>
                <w:lang w:val="en-US" w:eastAsia="zh-CN"/>
              </w:rPr>
              <w:t>01</w:t>
            </w:r>
            <w:r>
              <w:rPr>
                <w:rFonts w:ascii="Times New Roman" w:hAnsi="Times New Roman"/>
                <w:shd w:val="clear" w:color="auto" w:fill="auto"/>
                <w:rtl w:val="0"/>
                <w:lang w:val="en-US"/>
              </w:rPr>
              <w:t xml:space="preserve"> </w:t>
            </w:r>
            <w:r>
              <w:rPr>
                <w:rFonts w:hint="eastAsia" w:eastAsia="宋体"/>
                <w:shd w:val="clear" w:color="auto" w:fill="auto"/>
                <w:rtl w:val="0"/>
                <w:lang w:val="zh-TW" w:eastAsia="zh-TW"/>
              </w:rPr>
              <w:t>月</w:t>
            </w:r>
          </w:p>
        </w:tc>
      </w:tr>
      <w:tr w14:paraId="24D1AE7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226" w:hRule="atLeast"/>
          <w:jc w:val="center"/>
        </w:trPr>
        <w:tc>
          <w:tcPr>
            <w:tcW w:w="1875"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256" w:type="dxa"/>
            </w:tcMar>
            <w:vAlign w:val="center"/>
          </w:tcPr>
          <w:p w14:paraId="0ED767A1">
            <w:pPr>
              <w:framePr w:wrap="auto" w:vAnchor="margin" w:hAnchor="text" w:yAlign="inline"/>
              <w:ind w:right="176"/>
            </w:pPr>
            <w:r>
              <w:rPr>
                <w:rFonts w:hint="eastAsia" w:eastAsia="宋体"/>
                <w:shd w:val="clear" w:color="auto" w:fill="auto"/>
                <w:rtl w:val="0"/>
                <w:lang w:val="zh-TW" w:eastAsia="zh-TW"/>
              </w:rPr>
              <w:t>标准起草单位</w:t>
            </w:r>
          </w:p>
        </w:tc>
        <w:tc>
          <w:tcPr>
            <w:tcW w:w="7509"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14:paraId="5356A3A3"/>
        </w:tc>
      </w:tr>
      <w:tr w14:paraId="2B11561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224" w:hRule="atLeast"/>
          <w:jc w:val="center"/>
        </w:trPr>
        <w:tc>
          <w:tcPr>
            <w:tcW w:w="1875" w:type="dxa"/>
            <w:gridSpan w:val="2"/>
            <w:tcBorders>
              <w:top w:val="single" w:color="000000" w:sz="6" w:space="0"/>
              <w:left w:val="single" w:color="000000" w:sz="6" w:space="0"/>
              <w:bottom w:val="single" w:color="000000" w:sz="4" w:space="0"/>
              <w:right w:val="single" w:color="000000" w:sz="6" w:space="0"/>
            </w:tcBorders>
            <w:shd w:val="clear" w:color="auto" w:fill="auto"/>
            <w:tcMar>
              <w:top w:w="80" w:type="dxa"/>
              <w:left w:w="80" w:type="dxa"/>
              <w:bottom w:w="80" w:type="dxa"/>
              <w:right w:w="256" w:type="dxa"/>
            </w:tcMar>
            <w:vAlign w:val="center"/>
          </w:tcPr>
          <w:p w14:paraId="0EC8F90A">
            <w:pPr>
              <w:framePr w:wrap="auto" w:vAnchor="margin" w:hAnchor="text" w:yAlign="inline"/>
              <w:ind w:right="176"/>
            </w:pPr>
            <w:r>
              <w:rPr>
                <w:rFonts w:hint="eastAsia" w:eastAsia="宋体"/>
                <w:shd w:val="clear" w:color="auto" w:fill="auto"/>
                <w:rtl w:val="0"/>
                <w:lang w:val="zh-TW" w:eastAsia="zh-TW"/>
              </w:rPr>
              <w:t>起草组成员</w:t>
            </w:r>
          </w:p>
        </w:tc>
        <w:tc>
          <w:tcPr>
            <w:tcW w:w="7509" w:type="dxa"/>
            <w:gridSpan w:val="4"/>
            <w:tcBorders>
              <w:top w:val="single" w:color="000000" w:sz="6" w:space="0"/>
              <w:left w:val="single" w:color="000000" w:sz="6" w:space="0"/>
              <w:bottom w:val="single" w:color="000000" w:sz="4" w:space="0"/>
              <w:right w:val="single" w:color="000000" w:sz="6" w:space="0"/>
            </w:tcBorders>
            <w:shd w:val="clear" w:color="auto" w:fill="auto"/>
            <w:tcMar>
              <w:top w:w="80" w:type="dxa"/>
              <w:left w:w="80" w:type="dxa"/>
              <w:bottom w:w="80" w:type="dxa"/>
              <w:right w:w="80" w:type="dxa"/>
            </w:tcMar>
            <w:vAlign w:val="center"/>
          </w:tcPr>
          <w:p w14:paraId="26DAB0D0"/>
        </w:tc>
      </w:tr>
      <w:tr w14:paraId="2A4BF0B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210" w:hRule="atLeast"/>
          <w:jc w:val="center"/>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256" w:type="dxa"/>
            </w:tcMar>
            <w:vAlign w:val="center"/>
          </w:tcPr>
          <w:p w14:paraId="45D280E4">
            <w:pPr>
              <w:framePr w:wrap="auto" w:vAnchor="margin" w:hAnchor="text" w:yAlign="inline"/>
              <w:ind w:right="176"/>
            </w:pPr>
            <w:r>
              <w:rPr>
                <w:rFonts w:hint="eastAsia" w:eastAsia="宋体"/>
                <w:shd w:val="clear" w:color="auto" w:fill="auto"/>
                <w:rtl w:val="0"/>
                <w:lang w:val="zh-TW" w:eastAsia="zh-TW"/>
              </w:rPr>
              <w:t>项目调整情况</w:t>
            </w:r>
          </w:p>
        </w:tc>
        <w:tc>
          <w:tcPr>
            <w:tcW w:w="7509"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D07DA8A">
            <w:pPr>
              <w:framePr w:wrap="auto" w:vAnchor="margin" w:hAnchor="text" w:yAlign="inline"/>
              <w:rPr>
                <w:rFonts w:hint="default" w:eastAsia="等线"/>
                <w:lang w:val="en-US" w:eastAsia="zh-CN"/>
              </w:rPr>
            </w:pPr>
            <w:r>
              <w:rPr>
                <w:rFonts w:hint="eastAsia"/>
                <w:lang w:val="en-US" w:eastAsia="zh-CN"/>
              </w:rPr>
              <w:t>/</w:t>
            </w:r>
          </w:p>
        </w:tc>
      </w:tr>
      <w:tr w14:paraId="4B8EF12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290" w:hRule="atLeast"/>
          <w:jc w:val="center"/>
        </w:trPr>
        <w:tc>
          <w:tcPr>
            <w:tcW w:w="9384"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614C062">
            <w:pPr>
              <w:framePr w:wrap="auto" w:vAnchor="margin" w:hAnchor="text" w:yAlign="inline"/>
              <w:jc w:val="center"/>
            </w:pPr>
            <w:r>
              <w:rPr>
                <w:rFonts w:hint="eastAsia" w:eastAsia="宋体"/>
                <w:color w:val="auto"/>
                <w:sz w:val="28"/>
                <w:szCs w:val="28"/>
                <w:shd w:val="clear" w:color="auto" w:fill="auto"/>
                <w:rtl w:val="0"/>
                <w:lang w:val="zh-TW" w:eastAsia="zh-TW"/>
              </w:rPr>
              <w:t>背景、目的和意义</w:t>
            </w:r>
          </w:p>
        </w:tc>
      </w:tr>
      <w:tr w14:paraId="370FCDF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3410" w:hRule="atLeast"/>
          <w:jc w:val="center"/>
          <w:hidden/>
        </w:trPr>
        <w:tc>
          <w:tcPr>
            <w:tcW w:w="9384"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22468DE">
            <w:pPr>
              <w:framePr w:wrap="auto" w:vAnchor="margin" w:hAnchor="text" w:yAlign="inline"/>
              <w:shd w:val="clear" w:color="auto" w:fill="auto"/>
              <w:bidi w:val="0"/>
              <w:ind w:left="0" w:right="0" w:firstLine="512" w:firstLineChars="244"/>
              <w:jc w:val="both"/>
              <w:rPr>
                <w:rFonts w:hint="eastAsia" w:eastAsia="宋体"/>
                <w:b w:val="0"/>
                <w:bCs w:val="0"/>
                <w:i w:val="0"/>
                <w:iCs w:val="0"/>
                <w:caps w:val="0"/>
                <w:smallCaps w:val="0"/>
                <w:strike w:val="0"/>
                <w:dstrike w:val="0"/>
                <w:outline w:val="0"/>
                <w:emboss w:val="0"/>
                <w:imprint w:val="0"/>
                <w:vanish w:val="0"/>
                <w:shd w:val="clear" w:color="auto" w:fill="auto"/>
                <w:rtl w:val="0"/>
                <w:lang w:val="zh-TW" w:eastAsia="zh-CN"/>
              </w:rPr>
            </w:pPr>
            <w:r>
              <w:rPr>
                <w:rFonts w:hint="eastAsia" w:eastAsia="宋体"/>
                <w:b w:val="0"/>
                <w:bCs w:val="0"/>
                <w:i w:val="0"/>
                <w:iCs w:val="0"/>
                <w:caps w:val="0"/>
                <w:smallCaps w:val="0"/>
                <w:strike w:val="0"/>
                <w:dstrike w:val="0"/>
                <w:outline w:val="0"/>
                <w:emboss w:val="0"/>
                <w:imprint w:val="0"/>
                <w:vanish w:val="0"/>
                <w:shd w:val="clear" w:color="auto" w:fill="auto"/>
                <w:rtl w:val="0"/>
                <w:lang w:val="en-US" w:eastAsia="zh-CN"/>
              </w:rPr>
              <w:t>随着教育事业的蓬勃发展，校园团餐市场规模持续扩大，成为保障师生饮食安全与健康的关键环节。然而，当前校园团餐服务企业水平参差不齐，服务质量差异显著。部分企业存在食品卫生隐患，食材采购把控不严，加工操作不规范，给师生饮食安全带来威胁；还有企业菜品单一、营养搭配不合理，无法满足师生多样化的饮食需求。 同时，缺乏统一、科学的评价标准，导致学校在选择团餐服务企业时缺乏有效依据，难以判断企业优劣。监管部门在执法过程中，也因标准模糊，难以精准界定企业违规行为，影响监管效率与效果。目前，国内尚无针</w:t>
            </w:r>
            <w:r>
              <w:rPr>
                <w:rFonts w:hint="eastAsia" w:eastAsia="宋体"/>
                <w:b w:val="0"/>
                <w:bCs w:val="0"/>
                <w:i w:val="0"/>
                <w:iCs w:val="0"/>
                <w:caps w:val="0"/>
                <w:smallCaps w:val="0"/>
                <w:strike w:val="0"/>
                <w:dstrike w:val="0"/>
                <w:vanish w:val="0"/>
                <w:shd w:val="clear" w:color="auto" w:fill="auto"/>
                <w:rtl w:val="0"/>
                <w:lang w:val="en-US" w:eastAsia="zh-CN"/>
              </w:rPr>
              <w:t>评价</w:t>
            </w:r>
            <w:r>
              <w:rPr>
                <w:rFonts w:hint="eastAsia" w:eastAsia="宋体"/>
                <w:b w:val="0"/>
                <w:bCs w:val="0"/>
                <w:i w:val="0"/>
                <w:iCs w:val="0"/>
                <w:caps w:val="0"/>
                <w:smallCaps w:val="0"/>
                <w:strike w:val="0"/>
                <w:dstrike w:val="0"/>
                <w:outline w:val="0"/>
                <w:emboss w:val="0"/>
                <w:imprint w:val="0"/>
                <w:vanish w:val="0"/>
                <w:shd w:val="clear" w:color="auto" w:fill="auto"/>
                <w:rtl w:val="0"/>
                <w:lang w:val="en-US" w:eastAsia="zh-CN"/>
              </w:rPr>
              <w:t>校园团餐服务企业水平和能力的相关标准。在此背景下，研制校园团餐服务企业星级评价标准迫在眉睫</w:t>
            </w:r>
            <w:r>
              <w:rPr>
                <w:rFonts w:hint="eastAsia" w:eastAsia="宋体"/>
                <w:b w:val="0"/>
                <w:bCs w:val="0"/>
                <w:i w:val="0"/>
                <w:iCs w:val="0"/>
                <w:caps w:val="0"/>
                <w:smallCaps w:val="0"/>
                <w:strike w:val="0"/>
                <w:dstrike w:val="0"/>
                <w:outline w:val="0"/>
                <w:emboss w:val="0"/>
                <w:imprint w:val="0"/>
                <w:vanish w:val="0"/>
                <w:shd w:val="clear" w:color="auto" w:fill="auto"/>
                <w:rtl w:val="0"/>
                <w:lang w:val="zh-TW" w:eastAsia="zh-CN"/>
              </w:rPr>
              <w:t>。</w:t>
            </w:r>
          </w:p>
          <w:p w14:paraId="263CC974">
            <w:pPr>
              <w:framePr w:wrap="auto" w:vAnchor="margin" w:hAnchor="text" w:yAlign="inline"/>
              <w:shd w:val="clear" w:color="auto" w:fill="auto"/>
              <w:bidi w:val="0"/>
              <w:ind w:left="0" w:right="0" w:firstLine="512" w:firstLineChars="244"/>
              <w:jc w:val="both"/>
              <w:rPr>
                <w:rFonts w:hint="eastAsia" w:eastAsia="宋体"/>
                <w:shd w:val="clear" w:color="auto" w:fill="auto"/>
                <w:rtl w:val="0"/>
                <w:lang w:val="zh-TW" w:eastAsia="zh-TW"/>
              </w:rPr>
            </w:pPr>
            <w:r>
              <w:rPr>
                <w:rFonts w:hint="eastAsia" w:eastAsia="宋体"/>
                <w:b w:val="0"/>
                <w:bCs w:val="0"/>
                <w:i w:val="0"/>
                <w:iCs w:val="0"/>
                <w:caps w:val="0"/>
                <w:smallCaps w:val="0"/>
                <w:strike w:val="0"/>
                <w:dstrike w:val="0"/>
                <w:outline w:val="0"/>
                <w:emboss w:val="0"/>
                <w:imprint w:val="0"/>
                <w:vanish w:val="0"/>
                <w:shd w:val="clear" w:color="auto" w:fill="auto"/>
                <w:rtl w:val="0"/>
                <w:lang w:val="en-US" w:eastAsia="zh-CN"/>
              </w:rPr>
              <w:t>制定本</w:t>
            </w:r>
            <w:r>
              <w:rPr>
                <w:rFonts w:hint="eastAsia" w:eastAsia="宋体"/>
                <w:b w:val="0"/>
                <w:bCs w:val="0"/>
                <w:i w:val="0"/>
                <w:iCs w:val="0"/>
                <w:caps w:val="0"/>
                <w:smallCaps w:val="0"/>
                <w:strike w:val="0"/>
                <w:dstrike w:val="0"/>
                <w:outline w:val="0"/>
                <w:emboss w:val="0"/>
                <w:imprint w:val="0"/>
                <w:vanish w:val="0"/>
                <w:shd w:val="clear" w:color="auto" w:fill="auto"/>
                <w:rtl w:val="0"/>
                <w:lang w:val="zh-TW" w:eastAsia="zh-TW"/>
              </w:rPr>
              <w:t>标准旨在建立科学统一的星级评价体系，规范校园团餐服务企业的以食品安全和营养健康为核心的经营服务环节，明确星级量化指标，最终实现三个目标：为企业提供可持续改进的方向，为学校、家长及监</w:t>
            </w:r>
            <w:r>
              <w:rPr>
                <w:rFonts w:hint="eastAsia" w:eastAsia="宋体"/>
                <w:shd w:val="clear" w:color="auto" w:fill="auto"/>
                <w:rtl w:val="0"/>
                <w:lang w:val="zh-TW" w:eastAsia="zh-TW"/>
              </w:rPr>
              <w:t>管部门提供评价企业的依据，从源头保障学校师生的饮食安全与营养健康。</w:t>
            </w:r>
          </w:p>
          <w:p w14:paraId="6D684879">
            <w:pPr>
              <w:framePr w:wrap="auto" w:vAnchor="margin" w:hAnchor="text" w:yAlign="inline"/>
              <w:bidi w:val="0"/>
              <w:ind w:left="0" w:right="0" w:firstLine="304"/>
              <w:jc w:val="both"/>
              <w:rPr>
                <w:rFonts w:hint="eastAsia" w:eastAsia="宋体"/>
                <w:shd w:val="clear" w:color="auto" w:fill="auto"/>
                <w:rtl w:val="0"/>
                <w:lang w:val="zh-TW" w:eastAsia="zh-TW"/>
              </w:rPr>
            </w:pPr>
            <w:r>
              <w:rPr>
                <w:rFonts w:hint="eastAsia" w:eastAsia="宋体"/>
                <w:shd w:val="clear" w:color="auto" w:fill="auto"/>
                <w:rtl w:val="0"/>
                <w:lang w:val="zh-TW" w:eastAsia="zh-TW"/>
              </w:rPr>
              <w:t>本标准制定意义：（1）填补行业空白，解决企业评价无据可依的问题，为行业提供统一标尺；（2）回应社会关切，将政策要求转化为企业可执行的指标，有利于校园食品安全政策的落实；（3）适应行业发展，为企业提供阶梯式提升目标，推动校园团餐行业专业化、精细化发展；（4）发挥团体标准优势，灵活适配不同校园需求，为国家标准制定积累经验。​</w:t>
            </w:r>
          </w:p>
          <w:p w14:paraId="1127A57E">
            <w:pPr>
              <w:framePr w:wrap="auto" w:vAnchor="margin" w:hAnchor="text" w:yAlign="inline"/>
              <w:bidi w:val="0"/>
              <w:ind w:left="0" w:right="0" w:firstLine="304"/>
              <w:jc w:val="both"/>
              <w:rPr>
                <w:rtl w:val="0"/>
              </w:rPr>
            </w:pPr>
            <w:r>
              <w:rPr>
                <w:rFonts w:hint="eastAsia" w:eastAsia="宋体"/>
                <w:shd w:val="clear" w:color="auto" w:fill="auto"/>
                <w:rtl w:val="0"/>
                <w:lang w:val="zh-TW" w:eastAsia="zh-TW"/>
              </w:rPr>
              <w:t>综上，该标准的制定是解决行业痛点、保障学校师生健康、促进行业升级和完善社会治理的必要举措，对构建优质校园团餐生态意义重大。　</w:t>
            </w:r>
          </w:p>
        </w:tc>
      </w:tr>
      <w:tr w14:paraId="63A6E49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290" w:hRule="atLeast"/>
          <w:jc w:val="center"/>
        </w:trPr>
        <w:tc>
          <w:tcPr>
            <w:tcW w:w="9384"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A20CF2E">
            <w:pPr>
              <w:framePr w:wrap="auto" w:vAnchor="margin" w:hAnchor="text" w:yAlign="inline"/>
              <w:jc w:val="center"/>
            </w:pPr>
            <w:r>
              <w:rPr>
                <w:rFonts w:hint="eastAsia" w:eastAsia="宋体"/>
                <w:sz w:val="28"/>
                <w:szCs w:val="28"/>
                <w:shd w:val="clear" w:color="auto" w:fill="auto"/>
                <w:rtl w:val="0"/>
                <w:lang w:val="zh-TW" w:eastAsia="zh-TW"/>
              </w:rPr>
              <w:t>工作简况</w:t>
            </w:r>
          </w:p>
        </w:tc>
      </w:tr>
      <w:tr w14:paraId="2998A82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3750" w:hRule="atLeast"/>
          <w:jc w:val="center"/>
        </w:trPr>
        <w:tc>
          <w:tcPr>
            <w:tcW w:w="177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256" w:type="dxa"/>
            </w:tcMar>
            <w:vAlign w:val="center"/>
          </w:tcPr>
          <w:p w14:paraId="58644EB5">
            <w:pPr>
              <w:framePr w:wrap="auto" w:vAnchor="margin" w:hAnchor="text" w:yAlign="inline"/>
              <w:ind w:right="176"/>
              <w:jc w:val="center"/>
            </w:pPr>
            <w:r>
              <w:rPr>
                <w:rFonts w:hint="eastAsia" w:eastAsia="宋体"/>
                <w:shd w:val="clear" w:color="auto" w:fill="auto"/>
                <w:rtl w:val="0"/>
                <w:lang w:val="zh-TW" w:eastAsia="zh-TW"/>
              </w:rPr>
              <w:t>主要工作</w:t>
            </w:r>
            <w:bookmarkStart w:id="1" w:name="_GoBack"/>
            <w:bookmarkEnd w:id="1"/>
            <w:r>
              <w:rPr>
                <w:rFonts w:hint="eastAsia" w:eastAsia="宋体"/>
                <w:shd w:val="clear" w:color="auto" w:fill="auto"/>
                <w:rtl w:val="0"/>
                <w:lang w:val="zh-TW" w:eastAsia="zh-TW"/>
              </w:rPr>
              <w:t>过程</w:t>
            </w:r>
          </w:p>
        </w:tc>
        <w:tc>
          <w:tcPr>
            <w:tcW w:w="7611"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932A6EC">
            <w:pPr>
              <w:framePr w:wrap="auto" w:vAnchor="margin" w:hAnchor="text" w:yAlign="inline"/>
              <w:numPr>
                <w:ilvl w:val="0"/>
                <w:numId w:val="1"/>
              </w:numPr>
              <w:rPr>
                <w:rFonts w:hint="eastAsia" w:eastAsia="宋体"/>
                <w:shd w:val="clear" w:color="auto" w:fill="auto"/>
                <w:rtl w:val="0"/>
                <w:lang w:val="zh-TW" w:eastAsia="zh-TW"/>
              </w:rPr>
            </w:pPr>
            <w:r>
              <w:rPr>
                <w:rFonts w:hint="eastAsia" w:eastAsia="宋体"/>
                <w:shd w:val="clear" w:color="auto" w:fill="auto"/>
                <w:rtl w:val="0"/>
                <w:lang w:val="zh-TW" w:eastAsia="zh-TW"/>
              </w:rPr>
              <w:t>调研与</w:t>
            </w:r>
            <w:r>
              <w:rPr>
                <w:rFonts w:hint="eastAsia" w:eastAsia="宋体"/>
                <w:shd w:val="clear" w:color="auto" w:fill="auto"/>
                <w:rtl w:val="0"/>
                <w:lang w:val="en-US" w:eastAsia="zh-CN"/>
              </w:rPr>
              <w:t>信息</w:t>
            </w:r>
            <w:r>
              <w:rPr>
                <w:rFonts w:hint="eastAsia" w:eastAsia="宋体"/>
                <w:shd w:val="clear" w:color="auto" w:fill="auto"/>
                <w:rtl w:val="0"/>
                <w:lang w:val="zh-TW" w:eastAsia="zh-TW"/>
              </w:rPr>
              <w:t>收集：</w:t>
            </w:r>
            <w:r>
              <w:rPr>
                <w:rFonts w:hint="eastAsia" w:eastAsia="宋体"/>
                <w:shd w:val="clear" w:color="auto" w:fill="auto"/>
                <w:rtl w:val="0"/>
                <w:lang w:val="en-US" w:eastAsia="zh-CN"/>
              </w:rPr>
              <w:t>中国校园团餐联盟针对校园团餐行业难点痛点问题，多次深入校园团餐服务重点</w:t>
            </w:r>
            <w:r>
              <w:rPr>
                <w:rFonts w:hint="eastAsia" w:eastAsia="宋体"/>
                <w:shd w:val="clear" w:color="auto" w:fill="auto"/>
                <w:rtl w:val="0"/>
                <w:lang w:val="zh-TW" w:eastAsia="zh-TW"/>
              </w:rPr>
              <w:t>企业</w:t>
            </w:r>
            <w:r>
              <w:rPr>
                <w:rFonts w:hint="eastAsia" w:eastAsia="宋体"/>
                <w:shd w:val="clear" w:color="auto" w:fill="auto"/>
                <w:rtl w:val="0"/>
                <w:lang w:val="zh-TW" w:eastAsia="zh-CN"/>
              </w:rPr>
              <w:t>，</w:t>
            </w:r>
            <w:r>
              <w:rPr>
                <w:rFonts w:hint="eastAsia" w:eastAsia="宋体"/>
                <w:shd w:val="clear" w:color="auto" w:fill="auto"/>
                <w:rtl w:val="0"/>
                <w:lang w:val="en-US" w:eastAsia="zh-CN"/>
              </w:rPr>
              <w:t>开展合规生产经营</w:t>
            </w:r>
            <w:r>
              <w:rPr>
                <w:rFonts w:hint="eastAsia" w:eastAsia="宋体"/>
                <w:shd w:val="clear" w:color="auto" w:fill="auto"/>
                <w:rtl w:val="0"/>
                <w:lang w:val="zh-TW" w:eastAsia="zh-TW"/>
              </w:rPr>
              <w:t>放情况调研，与</w:t>
            </w:r>
            <w:r>
              <w:rPr>
                <w:rFonts w:hint="eastAsia" w:eastAsia="宋体"/>
                <w:shd w:val="clear" w:color="auto" w:fill="auto"/>
                <w:rtl w:val="0"/>
                <w:lang w:val="en-US" w:eastAsia="zh-CN"/>
              </w:rPr>
              <w:t>校园团餐服务供应</w:t>
            </w:r>
            <w:r>
              <w:rPr>
                <w:rFonts w:hint="eastAsia" w:eastAsia="宋体"/>
                <w:shd w:val="clear" w:color="auto" w:fill="auto"/>
                <w:rtl w:val="0"/>
                <w:lang w:val="zh-TW" w:eastAsia="zh-TW"/>
              </w:rPr>
              <w:t>企业、</w:t>
            </w:r>
            <w:r>
              <w:rPr>
                <w:rFonts w:hint="eastAsia" w:eastAsia="宋体"/>
                <w:shd w:val="clear" w:color="auto" w:fill="auto"/>
                <w:rtl w:val="0"/>
                <w:lang w:val="en-US" w:eastAsia="zh-CN"/>
              </w:rPr>
              <w:t>校园团餐食材供应</w:t>
            </w:r>
            <w:r>
              <w:rPr>
                <w:rFonts w:hint="eastAsia" w:eastAsia="宋体"/>
                <w:shd w:val="clear" w:color="auto" w:fill="auto"/>
                <w:rtl w:val="0"/>
                <w:lang w:val="zh-TW" w:eastAsia="zh-TW"/>
              </w:rPr>
              <w:t>企业</w:t>
            </w:r>
            <w:r>
              <w:rPr>
                <w:rFonts w:hint="eastAsia" w:eastAsia="宋体"/>
                <w:shd w:val="clear" w:color="auto" w:fill="auto"/>
                <w:rtl w:val="0"/>
                <w:lang w:val="zh-TW" w:eastAsia="zh-CN"/>
              </w:rPr>
              <w:t>、</w:t>
            </w:r>
            <w:r>
              <w:rPr>
                <w:rFonts w:hint="eastAsia" w:eastAsia="宋体"/>
                <w:shd w:val="clear" w:color="auto" w:fill="auto"/>
                <w:rtl w:val="0"/>
                <w:lang w:val="en-US" w:eastAsia="zh-CN"/>
              </w:rPr>
              <w:t>大中小学校（包括幼儿园）、教育主管</w:t>
            </w:r>
            <w:r>
              <w:rPr>
                <w:rFonts w:hint="eastAsia" w:eastAsia="宋体"/>
                <w:shd w:val="clear" w:color="auto" w:fill="auto"/>
                <w:rtl w:val="0"/>
                <w:lang w:val="zh-TW" w:eastAsia="zh-TW"/>
              </w:rPr>
              <w:t>部门</w:t>
            </w:r>
            <w:r>
              <w:rPr>
                <w:rFonts w:hint="eastAsia" w:eastAsia="宋体"/>
                <w:shd w:val="clear" w:color="auto" w:fill="auto"/>
                <w:rtl w:val="0"/>
                <w:lang w:val="zh-TW" w:eastAsia="zh-CN"/>
              </w:rPr>
              <w:t>、</w:t>
            </w:r>
            <w:r>
              <w:rPr>
                <w:rFonts w:hint="eastAsia" w:eastAsia="宋体"/>
                <w:shd w:val="clear" w:color="auto" w:fill="auto"/>
                <w:rtl w:val="0"/>
                <w:lang w:val="en-US" w:eastAsia="zh-CN"/>
              </w:rPr>
              <w:t>市场监管部门、农业农村主管部门</w:t>
            </w:r>
            <w:r>
              <w:rPr>
                <w:rFonts w:hint="eastAsia" w:eastAsia="宋体"/>
                <w:shd w:val="clear" w:color="auto" w:fill="auto"/>
                <w:rtl w:val="0"/>
                <w:lang w:val="zh-TW" w:eastAsia="zh-TW"/>
              </w:rPr>
              <w:t>及行业专家</w:t>
            </w:r>
            <w:r>
              <w:rPr>
                <w:rFonts w:hint="eastAsia" w:eastAsia="宋体"/>
                <w:shd w:val="clear" w:color="auto" w:fill="auto"/>
                <w:rtl w:val="0"/>
                <w:lang w:val="en-US" w:eastAsia="zh-CN"/>
              </w:rPr>
              <w:t>等</w:t>
            </w:r>
            <w:r>
              <w:rPr>
                <w:rFonts w:hint="eastAsia" w:eastAsia="宋体"/>
                <w:shd w:val="clear" w:color="auto" w:fill="auto"/>
                <w:rtl w:val="0"/>
                <w:lang w:val="zh-TW" w:eastAsia="zh-TW"/>
              </w:rPr>
              <w:t>进行深度访谈，收集</w:t>
            </w:r>
            <w:r>
              <w:rPr>
                <w:rFonts w:hint="eastAsia" w:eastAsia="宋体"/>
                <w:shd w:val="clear" w:color="auto" w:fill="auto"/>
                <w:rtl w:val="0"/>
                <w:lang w:val="en-US" w:eastAsia="zh-CN"/>
              </w:rPr>
              <w:t>企业反馈意见和相关</w:t>
            </w:r>
            <w:r>
              <w:rPr>
                <w:rFonts w:hint="eastAsia" w:eastAsia="宋体"/>
                <w:shd w:val="clear" w:color="auto" w:fill="auto"/>
                <w:rtl w:val="0"/>
                <w:lang w:val="zh-TW" w:eastAsia="zh-TW"/>
              </w:rPr>
              <w:t>数据</w:t>
            </w:r>
            <w:r>
              <w:rPr>
                <w:rFonts w:hint="eastAsia" w:eastAsia="宋体"/>
                <w:shd w:val="clear" w:color="auto" w:fill="auto"/>
                <w:rtl w:val="0"/>
                <w:lang w:val="en-US" w:eastAsia="zh-CN"/>
              </w:rPr>
              <w:t>信息</w:t>
            </w:r>
            <w:r>
              <w:rPr>
                <w:rFonts w:hint="eastAsia" w:eastAsia="宋体"/>
                <w:shd w:val="clear" w:color="auto" w:fill="auto"/>
                <w:rtl w:val="0"/>
                <w:lang w:val="zh-TW" w:eastAsia="zh-TW"/>
              </w:rPr>
              <w:t>，为制定</w:t>
            </w:r>
            <w:r>
              <w:rPr>
                <w:rFonts w:hint="eastAsia" w:eastAsia="宋体"/>
                <w:shd w:val="clear" w:color="auto" w:fill="auto"/>
                <w:rtl w:val="0"/>
                <w:lang w:val="en-US" w:eastAsia="zh-CN"/>
              </w:rPr>
              <w:t>校园团餐服务企业星级</w:t>
            </w:r>
            <w:r>
              <w:rPr>
                <w:rFonts w:hint="eastAsia" w:eastAsia="宋体"/>
                <w:shd w:val="clear" w:color="auto" w:fill="auto"/>
                <w:rtl w:val="0"/>
                <w:lang w:val="zh-TW" w:eastAsia="zh-TW"/>
              </w:rPr>
              <w:t>评价标准奠定基础。</w:t>
            </w:r>
          </w:p>
          <w:p w14:paraId="2C851FC3">
            <w:pPr>
              <w:framePr w:wrap="auto" w:vAnchor="margin" w:hAnchor="text" w:yAlign="inline"/>
              <w:numPr>
                <w:ilvl w:val="0"/>
                <w:numId w:val="0"/>
              </w:numPr>
              <w:shd w:val="clear" w:color="auto" w:fill="auto"/>
              <w:bidi w:val="0"/>
              <w:ind w:leftChars="0" w:right="0" w:rightChars="0"/>
              <w:jc w:val="both"/>
              <w:rPr>
                <w:rFonts w:hint="default" w:eastAsia="宋体"/>
                <w:b w:val="0"/>
                <w:bCs w:val="0"/>
                <w:i w:val="0"/>
                <w:iCs w:val="0"/>
                <w:caps w:val="0"/>
                <w:smallCaps w:val="0"/>
                <w:strike w:val="0"/>
                <w:dstrike w:val="0"/>
                <w:vanish w:val="0"/>
                <w:shd w:val="clear" w:color="auto" w:fill="auto"/>
                <w:rtl w:val="0"/>
                <w:lang w:val="en-US" w:eastAsia="zh-CN"/>
              </w:rPr>
            </w:pPr>
            <w:r>
              <w:rPr>
                <w:rFonts w:hint="eastAsia" w:eastAsia="宋体"/>
                <w:b w:val="0"/>
                <w:bCs w:val="0"/>
                <w:i w:val="0"/>
                <w:iCs w:val="0"/>
                <w:caps w:val="0"/>
                <w:smallCaps w:val="0"/>
                <w:strike w:val="0"/>
                <w:dstrike w:val="0"/>
                <w:vanish w:val="0"/>
                <w:shd w:val="clear" w:color="auto" w:fill="auto"/>
                <w:rtl w:val="0"/>
                <w:lang w:val="en-US" w:eastAsia="zh-CN"/>
              </w:rPr>
              <w:t>2. 内部管理办法制定与试点：2021-2024年，根据调研结果，</w:t>
            </w:r>
            <w:r>
              <w:rPr>
                <w:rFonts w:hint="eastAsia" w:eastAsia="宋体"/>
                <w:shd w:val="clear" w:color="auto" w:fill="auto"/>
                <w:rtl w:val="0"/>
                <w:lang w:val="en-US" w:eastAsia="zh-CN"/>
              </w:rPr>
              <w:t>中国校园团餐联盟组织制定了中国校园团餐服务企业星级评价管理办法，并选择联盟内部几家代表性企业进行校园团餐服务企业星级</w:t>
            </w:r>
            <w:r>
              <w:rPr>
                <w:rFonts w:hint="eastAsia" w:eastAsia="宋体"/>
                <w:shd w:val="clear" w:color="auto" w:fill="auto"/>
                <w:rtl w:val="0"/>
                <w:lang w:val="zh-TW" w:eastAsia="zh-TW"/>
              </w:rPr>
              <w:t>评价</w:t>
            </w:r>
            <w:r>
              <w:rPr>
                <w:rFonts w:hint="eastAsia" w:eastAsia="宋体"/>
                <w:shd w:val="clear" w:color="auto" w:fill="auto"/>
                <w:rtl w:val="0"/>
                <w:lang w:val="en-US" w:eastAsia="zh-CN"/>
              </w:rPr>
              <w:t>试点应用。</w:t>
            </w:r>
            <w:r>
              <w:rPr>
                <w:rFonts w:hint="eastAsia" w:eastAsia="宋体"/>
                <w:shd w:val="clear" w:color="auto" w:fill="auto"/>
                <w:rtl w:val="0"/>
                <w:lang w:val="zh-TW" w:eastAsia="zh-TW"/>
              </w:rPr>
              <w:t>测试评价体系的适用性与效果。根据试点反馈，调整和完善评价标准，最终形成可在</w:t>
            </w:r>
            <w:r>
              <w:rPr>
                <w:rFonts w:hint="eastAsia" w:eastAsia="宋体"/>
                <w:shd w:val="clear" w:color="auto" w:fill="auto"/>
                <w:rtl w:val="0"/>
                <w:lang w:val="en-US" w:eastAsia="zh-CN"/>
              </w:rPr>
              <w:t>联盟内部</w:t>
            </w:r>
            <w:r>
              <w:rPr>
                <w:rFonts w:hint="eastAsia" w:eastAsia="宋体"/>
                <w:shd w:val="clear" w:color="auto" w:fill="auto"/>
                <w:rtl w:val="0"/>
                <w:lang w:val="zh-TW" w:eastAsia="zh-TW"/>
              </w:rPr>
              <w:t>推广的</w:t>
            </w:r>
            <w:r>
              <w:rPr>
                <w:rFonts w:hint="eastAsia" w:eastAsia="宋体"/>
                <w:shd w:val="clear" w:color="auto" w:fill="auto"/>
                <w:rtl w:val="0"/>
                <w:lang w:val="en-US" w:eastAsia="zh-CN"/>
              </w:rPr>
              <w:t>中国校园团餐服务企业星级评价管理办法</w:t>
            </w:r>
            <w:r>
              <w:rPr>
                <w:rFonts w:hint="eastAsia" w:eastAsia="宋体"/>
                <w:shd w:val="clear" w:color="auto" w:fill="auto"/>
                <w:rtl w:val="0"/>
                <w:lang w:val="zh-TW" w:eastAsia="zh-TW"/>
              </w:rPr>
              <w:t>。</w:t>
            </w:r>
          </w:p>
          <w:p w14:paraId="31716E80">
            <w:pPr>
              <w:framePr w:wrap="auto" w:vAnchor="margin" w:hAnchor="text" w:yAlign="inline"/>
              <w:numPr>
                <w:ilvl w:val="0"/>
                <w:numId w:val="0"/>
              </w:numPr>
              <w:shd w:val="clear" w:color="auto" w:fill="auto"/>
              <w:bidi w:val="0"/>
              <w:ind w:leftChars="0" w:right="0" w:rightChars="0"/>
              <w:jc w:val="both"/>
              <w:rPr>
                <w:rFonts w:hint="eastAsia" w:eastAsia="宋体"/>
                <w:b w:val="0"/>
                <w:bCs w:val="0"/>
                <w:i w:val="0"/>
                <w:iCs w:val="0"/>
                <w:caps w:val="0"/>
                <w:smallCaps w:val="0"/>
                <w:strike w:val="0"/>
                <w:dstrike w:val="0"/>
                <w:vanish w:val="0"/>
                <w:shd w:val="clear" w:color="auto" w:fill="auto"/>
                <w:rtl w:val="0"/>
                <w:lang w:val="en-US" w:eastAsia="zh-CN"/>
              </w:rPr>
            </w:pPr>
            <w:r>
              <w:rPr>
                <w:rFonts w:hint="eastAsia" w:eastAsia="宋体"/>
                <w:b w:val="0"/>
                <w:bCs w:val="0"/>
                <w:i w:val="0"/>
                <w:iCs w:val="0"/>
                <w:caps w:val="0"/>
                <w:smallCaps w:val="0"/>
                <w:strike w:val="0"/>
                <w:dstrike w:val="0"/>
                <w:vanish w:val="0"/>
                <w:shd w:val="clear" w:color="auto" w:fill="auto"/>
                <w:rtl w:val="0"/>
                <w:lang w:val="en-US" w:eastAsia="zh-CN"/>
              </w:rPr>
              <w:t>3.标准立项评审：2025年8月6日，中国食品药品企业质量安全促进会，在北京组织专家召开了团体标准立项评审会，通过答辩和专家质询，顺利通过了以</w:t>
            </w:r>
            <w:r>
              <w:rPr>
                <w:rFonts w:hint="eastAsia" w:eastAsia="宋体"/>
                <w:shd w:val="clear" w:color="auto" w:fill="auto"/>
                <w:rtl w:val="0"/>
                <w:lang w:val="en-US" w:eastAsia="zh-CN"/>
              </w:rPr>
              <w:t>中国校园团餐服务企业星级评价管理办法为基础申请的《</w:t>
            </w:r>
            <w:r>
              <w:rPr>
                <w:rFonts w:hint="eastAsia" w:eastAsia="宋体"/>
                <w:b w:val="0"/>
                <w:bCs w:val="0"/>
                <w:i w:val="0"/>
                <w:iCs w:val="0"/>
                <w:caps w:val="0"/>
                <w:smallCaps w:val="0"/>
                <w:strike w:val="0"/>
                <w:dstrike w:val="0"/>
                <w:vanish w:val="0"/>
                <w:shd w:val="clear" w:color="auto" w:fill="auto"/>
                <w:rtl w:val="0"/>
                <w:lang w:val="en-US" w:eastAsia="zh-CN"/>
              </w:rPr>
              <w:t>校园团餐服务企业星级评价技术规范</w:t>
            </w:r>
            <w:r>
              <w:rPr>
                <w:rFonts w:hint="eastAsia" w:eastAsia="宋体"/>
                <w:shd w:val="clear" w:color="auto" w:fill="auto"/>
                <w:rtl w:val="0"/>
                <w:lang w:val="en-US" w:eastAsia="zh-CN"/>
              </w:rPr>
              <w:t>》团标</w:t>
            </w:r>
            <w:r>
              <w:rPr>
                <w:rFonts w:hint="eastAsia" w:eastAsia="宋体"/>
                <w:b w:val="0"/>
                <w:bCs w:val="0"/>
                <w:i w:val="0"/>
                <w:iCs w:val="0"/>
                <w:caps w:val="0"/>
                <w:smallCaps w:val="0"/>
                <w:strike w:val="0"/>
                <w:dstrike w:val="0"/>
                <w:vanish w:val="0"/>
                <w:shd w:val="clear" w:color="auto" w:fill="auto"/>
                <w:rtl w:val="0"/>
                <w:lang w:val="en-US" w:eastAsia="zh-CN"/>
              </w:rPr>
              <w:t>立项评审。与会专家一直认为本标准呼应了时代发展诉求，符合国家政策导向，对校园团餐产业高质量发展具有很好的促进作用。同时，专家们从行业发展和市场监管等战略角度后续的标准编制工作提出了指导性意见，并对标准草案文本提出了建设性修改意见和建议。</w:t>
            </w:r>
          </w:p>
          <w:p w14:paraId="0CA82C13">
            <w:pPr>
              <w:framePr w:wrap="auto" w:vAnchor="margin" w:hAnchor="text" w:yAlign="inline"/>
              <w:shd w:val="clear" w:color="auto" w:fill="auto"/>
              <w:bidi w:val="0"/>
              <w:ind w:left="0" w:right="0" w:firstLine="0"/>
              <w:jc w:val="both"/>
              <w:rPr>
                <w:rFonts w:hint="eastAsia" w:eastAsia="宋体"/>
                <w:b w:val="0"/>
                <w:bCs w:val="0"/>
                <w:i w:val="0"/>
                <w:iCs w:val="0"/>
                <w:caps w:val="0"/>
                <w:smallCaps w:val="0"/>
                <w:strike w:val="0"/>
                <w:dstrike w:val="0"/>
                <w:vanish w:val="0"/>
                <w:shd w:val="clear" w:color="auto" w:fill="auto"/>
                <w:rtl w:val="0"/>
                <w:lang w:val="en-US" w:eastAsia="zh-CN"/>
              </w:rPr>
            </w:pPr>
            <w:r>
              <w:rPr>
                <w:rFonts w:hint="eastAsia" w:eastAsia="宋体"/>
                <w:b w:val="0"/>
                <w:bCs w:val="0"/>
                <w:i w:val="0"/>
                <w:iCs w:val="0"/>
                <w:caps w:val="0"/>
                <w:smallCaps w:val="0"/>
                <w:strike w:val="0"/>
                <w:dstrike w:val="0"/>
                <w:vanish w:val="0"/>
                <w:shd w:val="clear" w:color="auto" w:fill="auto"/>
                <w:rtl w:val="0"/>
                <w:lang w:val="en-US" w:eastAsia="zh-CN"/>
              </w:rPr>
              <w:t>3. 标准编制工作启动会及技术交流研讨会：2025年9月26日，中国食品药品质量安全促进会特殊食品与智慧团餐专委会，在北京组织召开《校园团餐服务企业星级评价技术规范》团体标准启动会及研讨会，正式成立标准编制工作组，与会者对标准主要内容进行了深入研讨并达成共识，对标准文本提出了的修改意见和建议。</w:t>
            </w:r>
          </w:p>
          <w:p w14:paraId="063BA761">
            <w:pPr>
              <w:framePr w:wrap="auto" w:vAnchor="margin" w:hAnchor="text" w:yAlign="inline"/>
              <w:bidi w:val="0"/>
              <w:ind w:left="0" w:right="0" w:firstLine="0"/>
              <w:jc w:val="both"/>
              <w:rPr>
                <w:rFonts w:hint="eastAsia" w:eastAsia="宋体"/>
                <w:shd w:val="clear" w:color="auto" w:fill="auto"/>
                <w:rtl w:val="0"/>
                <w:lang w:val="zh-TW" w:eastAsia="zh-TW"/>
              </w:rPr>
            </w:pPr>
            <w:r>
              <w:rPr>
                <w:rFonts w:hint="eastAsia" w:eastAsia="宋体"/>
                <w:b w:val="0"/>
                <w:bCs w:val="0"/>
                <w:i w:val="0"/>
                <w:iCs w:val="0"/>
                <w:caps w:val="0"/>
                <w:smallCaps w:val="0"/>
                <w:strike w:val="0"/>
                <w:dstrike w:val="0"/>
                <w:vanish w:val="0"/>
                <w:shd w:val="clear" w:color="auto" w:fill="auto"/>
                <w:rtl w:val="0"/>
                <w:lang w:val="en-US" w:eastAsia="zh-CN"/>
              </w:rPr>
              <w:t>4. 标准征求意见稿的编制：在中国食品药品质量安全促进会标准专家的指导下，《校园团餐服务企业星级评价技术规范》团体标准编制工作组广泛征询参编单位意见，对标准文本进行了修改、补充和完善，最终形成标准征求意见稿。</w:t>
            </w:r>
          </w:p>
        </w:tc>
      </w:tr>
      <w:tr w14:paraId="381E9FE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290" w:hRule="atLeast"/>
          <w:jc w:val="center"/>
        </w:trPr>
        <w:tc>
          <w:tcPr>
            <w:tcW w:w="9384"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3D6C6E6">
            <w:pPr>
              <w:framePr w:wrap="auto" w:vAnchor="margin" w:hAnchor="text" w:yAlign="inline"/>
              <w:jc w:val="center"/>
            </w:pPr>
            <w:r>
              <w:rPr>
                <w:rFonts w:hint="eastAsia" w:eastAsia="宋体"/>
                <w:sz w:val="28"/>
                <w:szCs w:val="28"/>
                <w:shd w:val="clear" w:color="auto" w:fill="auto"/>
                <w:rtl w:val="0"/>
                <w:lang w:val="zh-TW" w:eastAsia="zh-TW"/>
              </w:rPr>
              <w:t>标准编制原则、标准主要内容</w:t>
            </w:r>
          </w:p>
        </w:tc>
      </w:tr>
      <w:tr w14:paraId="1862981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4785" w:hRule="atLeast"/>
          <w:jc w:val="center"/>
        </w:trPr>
        <w:tc>
          <w:tcPr>
            <w:tcW w:w="177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256" w:type="dxa"/>
            </w:tcMar>
            <w:vAlign w:val="center"/>
          </w:tcPr>
          <w:p w14:paraId="37F9B6F4">
            <w:pPr>
              <w:framePr w:wrap="auto" w:vAnchor="margin" w:hAnchor="text" w:yAlign="inline"/>
              <w:ind w:right="176"/>
              <w:jc w:val="center"/>
            </w:pPr>
            <w:r>
              <w:rPr>
                <w:rFonts w:hint="eastAsia" w:eastAsia="宋体"/>
                <w:color w:val="auto"/>
                <w:shd w:val="clear" w:color="auto" w:fill="auto"/>
                <w:rtl w:val="0"/>
                <w:lang w:val="zh-TW" w:eastAsia="zh-TW"/>
              </w:rPr>
              <w:t>标准编制原则</w:t>
            </w:r>
          </w:p>
        </w:tc>
        <w:tc>
          <w:tcPr>
            <w:tcW w:w="7611"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EE0E5C8">
            <w:pPr>
              <w:framePr w:wrap="auto" w:vAnchor="margin" w:hAnchor="text" w:yAlign="inline"/>
              <w:ind w:firstLine="304"/>
              <w:rPr>
                <w:rFonts w:ascii="Times New Roman" w:hAnsi="Times New Roman" w:eastAsia="Times New Roman" w:cs="Times New Roman"/>
                <w:shd w:val="clear" w:color="auto" w:fill="auto"/>
              </w:rPr>
            </w:pPr>
            <w:r>
              <w:rPr>
                <w:rFonts w:hint="eastAsia" w:eastAsia="宋体"/>
                <w:shd w:val="clear" w:color="auto" w:fill="auto"/>
                <w:rtl w:val="0"/>
                <w:lang w:val="zh-TW" w:eastAsia="zh-TW"/>
              </w:rPr>
              <w:t>本文件按照</w:t>
            </w:r>
            <w:r>
              <w:rPr>
                <w:rFonts w:ascii="Times New Roman" w:hAnsi="Times New Roman"/>
                <w:shd w:val="clear" w:color="auto" w:fill="auto"/>
                <w:rtl w:val="0"/>
                <w:lang w:val="en-US"/>
              </w:rPr>
              <w:t xml:space="preserve"> GB/T 1.1-2020</w:t>
            </w:r>
            <w:r>
              <w:rPr>
                <w:rFonts w:hint="eastAsia" w:eastAsia="宋体"/>
                <w:shd w:val="clear" w:color="auto" w:fill="auto"/>
                <w:rtl w:val="0"/>
                <w:lang w:val="zh-TW" w:eastAsia="zh-TW"/>
              </w:rPr>
              <w:t>《标准化工作导则</w:t>
            </w:r>
            <w:r>
              <w:rPr>
                <w:rFonts w:ascii="Times New Roman" w:hAnsi="Times New Roman"/>
                <w:shd w:val="clear" w:color="auto" w:fill="auto"/>
                <w:rtl w:val="0"/>
                <w:lang w:val="en-US"/>
              </w:rPr>
              <w:t xml:space="preserve"> </w:t>
            </w:r>
            <w:r>
              <w:rPr>
                <w:rFonts w:hint="eastAsia" w:eastAsia="宋体"/>
                <w:shd w:val="clear" w:color="auto" w:fill="auto"/>
                <w:rtl w:val="0"/>
                <w:lang w:val="zh-TW" w:eastAsia="zh-TW"/>
              </w:rPr>
              <w:t>第</w:t>
            </w:r>
            <w:r>
              <w:rPr>
                <w:rFonts w:ascii="Times New Roman" w:hAnsi="Times New Roman"/>
                <w:shd w:val="clear" w:color="auto" w:fill="auto"/>
                <w:rtl w:val="0"/>
                <w:lang w:val="en-US"/>
              </w:rPr>
              <w:t xml:space="preserve"> 1 </w:t>
            </w:r>
            <w:r>
              <w:rPr>
                <w:rFonts w:hint="eastAsia" w:eastAsia="宋体"/>
                <w:shd w:val="clear" w:color="auto" w:fill="auto"/>
                <w:rtl w:val="0"/>
                <w:lang w:val="zh-TW" w:eastAsia="zh-TW"/>
              </w:rPr>
              <w:t>部分：标准化文件的结构和起草规则》的规定起草。</w:t>
            </w:r>
          </w:p>
          <w:p w14:paraId="08C8EC89">
            <w:pPr>
              <w:pStyle w:val="8"/>
              <w:framePr w:wrap="auto" w:vAnchor="margin" w:hAnchor="text" w:yAlign="inline"/>
              <w:widowControl/>
              <w:tabs>
                <w:tab w:val="right" w:leader="dot" w:pos="8280"/>
                <w:tab w:val="clear" w:pos="9298"/>
              </w:tabs>
              <w:bidi w:val="0"/>
              <w:ind w:left="0" w:right="0" w:firstLine="420"/>
              <w:jc w:val="both"/>
              <w:rPr>
                <w:rFonts w:ascii="黑体" w:hAnsi="黑体" w:eastAsia="黑体" w:cs="黑体"/>
                <w:shd w:val="clear" w:color="auto" w:fill="auto"/>
                <w:rtl w:val="0"/>
              </w:rPr>
            </w:pPr>
            <w:r>
              <w:rPr>
                <w:rFonts w:ascii="黑体" w:hAnsi="黑体" w:eastAsia="黑体" w:cs="黑体"/>
                <w:shd w:val="clear" w:color="auto" w:fill="auto"/>
                <w:rtl w:val="0"/>
                <w:lang w:val="en-US"/>
              </w:rPr>
              <w:t xml:space="preserve">1. </w:t>
            </w:r>
            <w:r>
              <w:rPr>
                <w:rFonts w:ascii="黑体" w:hAnsi="黑体" w:eastAsia="黑体" w:cs="黑体"/>
                <w:b w:val="0"/>
                <w:bCs w:val="0"/>
                <w:i w:val="0"/>
                <w:iCs w:val="0"/>
                <w:caps w:val="0"/>
                <w:smallCaps w:val="0"/>
                <w:strike w:val="0"/>
                <w:dstrike w:val="0"/>
                <w:outline w:val="0"/>
                <w:emboss w:val="0"/>
                <w:imprint w:val="0"/>
                <w:vanish w:val="0"/>
                <w:shd w:val="clear" w:color="auto" w:fill="auto"/>
                <w:rtl w:val="0"/>
                <w:lang w:val="zh-TW" w:eastAsia="zh-TW"/>
              </w:rPr>
              <w:t>统一性</w:t>
            </w:r>
          </w:p>
          <w:p w14:paraId="492D77A7">
            <w:pPr>
              <w:pStyle w:val="8"/>
              <w:framePr w:wrap="auto" w:vAnchor="margin" w:hAnchor="text" w:yAlign="inline"/>
              <w:widowControl/>
              <w:tabs>
                <w:tab w:val="right" w:leader="dot" w:pos="8280"/>
                <w:tab w:val="clear" w:pos="9298"/>
              </w:tabs>
              <w:bidi w:val="0"/>
              <w:ind w:left="0" w:right="0" w:firstLine="420"/>
              <w:jc w:val="both"/>
              <w:rPr>
                <w:rFonts w:ascii="等线" w:hAnsi="等线" w:eastAsia="等线" w:cs="等线"/>
                <w:shd w:val="clear" w:color="auto" w:fill="auto"/>
                <w:rtl w:val="0"/>
              </w:rPr>
            </w:pPr>
            <w:r>
              <w:rPr>
                <w:rFonts w:hint="eastAsia" w:ascii="等线" w:hAnsi="等线" w:eastAsia="宋体" w:cs="等线"/>
                <w:shd w:val="clear" w:color="auto" w:fill="auto"/>
                <w:rtl w:val="0"/>
                <w:lang w:val="zh-TW" w:eastAsia="zh-TW"/>
              </w:rPr>
              <w:t>本文件的编制参照</w:t>
            </w:r>
            <w:r>
              <w:rPr>
                <w:rFonts w:hint="eastAsia" w:ascii="等线" w:hAnsi="等线" w:eastAsia="宋体" w:cs="等线"/>
                <w:b w:val="0"/>
                <w:bCs w:val="0"/>
                <w:i w:val="0"/>
                <w:iCs w:val="0"/>
                <w:caps w:val="0"/>
                <w:smallCaps w:val="0"/>
                <w:strike w:val="0"/>
                <w:dstrike w:val="0"/>
                <w:outline w:val="0"/>
                <w:emboss w:val="0"/>
                <w:imprint w:val="0"/>
                <w:vanish w:val="0"/>
                <w:shd w:val="clear" w:color="auto" w:fill="auto"/>
                <w:rtl w:val="0"/>
                <w:lang w:val="zh-TW" w:eastAsia="zh-TW"/>
              </w:rPr>
              <w:t>了</w:t>
            </w:r>
            <w:r>
              <w:rPr>
                <w:rFonts w:hint="eastAsia" w:ascii="等线" w:hAnsi="等线" w:eastAsia="宋体" w:cs="等线"/>
                <w:b w:val="0"/>
                <w:bCs w:val="0"/>
                <w:i w:val="0"/>
                <w:iCs w:val="0"/>
                <w:caps w:val="0"/>
                <w:smallCaps w:val="0"/>
                <w:strike w:val="0"/>
                <w:dstrike w:val="0"/>
                <w:outline w:val="0"/>
                <w:emboss w:val="0"/>
                <w:imprint w:val="0"/>
                <w:vanish w:val="0"/>
                <w:shd w:val="clear" w:color="auto" w:fill="auto"/>
                <w:rtl w:val="0"/>
                <w:lang w:val="en-US" w:eastAsia="zh-TW"/>
              </w:rPr>
              <w:t>T/TCYCYPR 001-2019《河北省团餐等级划分与评价规范》</w:t>
            </w:r>
            <w:r>
              <w:rPr>
                <w:rFonts w:hint="eastAsia" w:ascii="等线" w:hAnsi="等线" w:eastAsia="宋体" w:cs="等线"/>
                <w:b w:val="0"/>
                <w:bCs w:val="0"/>
                <w:i w:val="0"/>
                <w:iCs w:val="0"/>
                <w:caps w:val="0"/>
                <w:smallCaps w:val="0"/>
                <w:strike w:val="0"/>
                <w:dstrike w:val="0"/>
                <w:outline w:val="0"/>
                <w:emboss w:val="0"/>
                <w:imprint w:val="0"/>
                <w:vanish w:val="0"/>
                <w:shd w:val="clear" w:color="auto" w:fill="auto"/>
                <w:rtl w:val="0"/>
                <w:lang w:val="en-US" w:eastAsia="zh-CN"/>
              </w:rPr>
              <w:t>、</w:t>
            </w:r>
            <w:r>
              <w:rPr>
                <w:rFonts w:hint="eastAsia" w:ascii="等线" w:hAnsi="等线" w:eastAsia="宋体" w:cs="等线"/>
                <w:b w:val="0"/>
                <w:bCs w:val="0"/>
                <w:i w:val="0"/>
                <w:iCs w:val="0"/>
                <w:caps w:val="0"/>
                <w:smallCaps w:val="0"/>
                <w:strike w:val="0"/>
                <w:dstrike w:val="0"/>
                <w:outline w:val="0"/>
                <w:emboss w:val="0"/>
                <w:imprint w:val="0"/>
                <w:vanish w:val="0"/>
                <w:shd w:val="clear" w:color="auto" w:fill="auto"/>
                <w:rtl w:val="0"/>
                <w:lang w:val="en-US" w:eastAsia="zh-TW"/>
              </w:rPr>
              <w:t>T/SDGCA-2018《团餐企业 (单位) 等级划分与评价规范》</w:t>
            </w:r>
            <w:r>
              <w:rPr>
                <w:rFonts w:hint="eastAsia" w:ascii="等线" w:hAnsi="等线" w:eastAsia="宋体" w:cs="等线"/>
                <w:b w:val="0"/>
                <w:bCs w:val="0"/>
                <w:i w:val="0"/>
                <w:iCs w:val="0"/>
                <w:caps w:val="0"/>
                <w:smallCaps w:val="0"/>
                <w:strike w:val="0"/>
                <w:dstrike w:val="0"/>
                <w:outline w:val="0"/>
                <w:emboss w:val="0"/>
                <w:imprint w:val="0"/>
                <w:vanish w:val="0"/>
                <w:shd w:val="clear" w:color="auto" w:fill="auto"/>
                <w:rtl w:val="0"/>
                <w:lang w:val="en-US" w:eastAsia="zh-CN"/>
              </w:rPr>
              <w:t>、</w:t>
            </w:r>
            <w:r>
              <w:rPr>
                <w:rFonts w:hint="eastAsia" w:ascii="等线" w:hAnsi="等线" w:eastAsia="宋体" w:cs="等线"/>
                <w:b w:val="0"/>
                <w:bCs w:val="0"/>
                <w:i w:val="0"/>
                <w:iCs w:val="0"/>
                <w:caps w:val="0"/>
                <w:smallCaps w:val="0"/>
                <w:strike w:val="0"/>
                <w:dstrike w:val="0"/>
                <w:outline w:val="0"/>
                <w:emboss w:val="0"/>
                <w:imprint w:val="0"/>
                <w:vanish w:val="0"/>
                <w:shd w:val="clear" w:color="auto" w:fill="auto"/>
                <w:rtl w:val="0"/>
                <w:lang w:val="en-US" w:eastAsia="zh-TW"/>
              </w:rPr>
              <w:t>T/SZFIA101-2019《团餐服务机构等级评定规范》</w:t>
            </w:r>
            <w:r>
              <w:rPr>
                <w:rFonts w:hint="eastAsia" w:ascii="等线" w:hAnsi="等线" w:eastAsia="宋体" w:cs="等线"/>
                <w:b w:val="0"/>
                <w:bCs w:val="0"/>
                <w:i w:val="0"/>
                <w:iCs w:val="0"/>
                <w:caps w:val="0"/>
                <w:smallCaps w:val="0"/>
                <w:strike w:val="0"/>
                <w:dstrike w:val="0"/>
                <w:outline w:val="0"/>
                <w:emboss w:val="0"/>
                <w:imprint w:val="0"/>
                <w:vanish w:val="0"/>
                <w:shd w:val="clear" w:color="auto" w:fill="auto"/>
                <w:rtl w:val="0"/>
                <w:lang w:val="en-US" w:eastAsia="zh-CN"/>
              </w:rPr>
              <w:t>、</w:t>
            </w:r>
            <w:r>
              <w:rPr>
                <w:rFonts w:hint="eastAsia" w:ascii="等线" w:hAnsi="等线" w:eastAsia="宋体" w:cs="等线"/>
                <w:b w:val="0"/>
                <w:bCs w:val="0"/>
                <w:i w:val="0"/>
                <w:iCs w:val="0"/>
                <w:caps w:val="0"/>
                <w:smallCaps w:val="0"/>
                <w:strike w:val="0"/>
                <w:dstrike w:val="0"/>
                <w:outline w:val="0"/>
                <w:emboss w:val="0"/>
                <w:imprint w:val="0"/>
                <w:vanish w:val="0"/>
                <w:shd w:val="clear" w:color="auto" w:fill="auto"/>
                <w:rtl w:val="0"/>
                <w:lang w:val="en-US" w:eastAsia="zh-TW"/>
              </w:rPr>
              <w:t>T/GDFSPA 0004—2021《广东省中小学校团体供餐生产加工质量管理规范》</w:t>
            </w:r>
            <w:r>
              <w:rPr>
                <w:rFonts w:hint="eastAsia" w:ascii="等线" w:hAnsi="等线" w:eastAsia="宋体" w:cs="等线"/>
                <w:b w:val="0"/>
                <w:bCs w:val="0"/>
                <w:i w:val="0"/>
                <w:iCs w:val="0"/>
                <w:caps w:val="0"/>
                <w:smallCaps w:val="0"/>
                <w:strike w:val="0"/>
                <w:dstrike w:val="0"/>
                <w:outline w:val="0"/>
                <w:emboss w:val="0"/>
                <w:imprint w:val="0"/>
                <w:vanish w:val="0"/>
                <w:shd w:val="clear" w:color="auto" w:fill="auto"/>
                <w:rtl w:val="0"/>
                <w:lang w:val="en-US" w:eastAsia="zh-CN"/>
              </w:rPr>
              <w:t>、</w:t>
            </w:r>
            <w:r>
              <w:rPr>
                <w:rFonts w:hint="eastAsia" w:ascii="等线" w:hAnsi="等线" w:eastAsia="宋体" w:cs="等线"/>
                <w:b w:val="0"/>
                <w:bCs w:val="0"/>
                <w:i w:val="0"/>
                <w:iCs w:val="0"/>
                <w:caps w:val="0"/>
                <w:smallCaps w:val="0"/>
                <w:strike w:val="0"/>
                <w:dstrike w:val="0"/>
                <w:outline w:val="0"/>
                <w:emboss w:val="0"/>
                <w:imprint w:val="0"/>
                <w:vanish w:val="0"/>
                <w:shd w:val="clear" w:color="auto" w:fill="auto"/>
                <w:rtl w:val="0"/>
                <w:lang w:val="en-US" w:eastAsia="zh-TW"/>
              </w:rPr>
              <w:t>T/SZS 3029—2021《学校团餐配送服务规范》</w:t>
            </w:r>
            <w:r>
              <w:rPr>
                <w:rFonts w:hint="eastAsia" w:ascii="等线" w:hAnsi="等线" w:eastAsia="宋体" w:cs="等线"/>
                <w:b w:val="0"/>
                <w:bCs w:val="0"/>
                <w:i w:val="0"/>
                <w:iCs w:val="0"/>
                <w:caps w:val="0"/>
                <w:smallCaps w:val="0"/>
                <w:strike w:val="0"/>
                <w:dstrike w:val="0"/>
                <w:outline w:val="0"/>
                <w:emboss w:val="0"/>
                <w:imprint w:val="0"/>
                <w:vanish w:val="0"/>
                <w:shd w:val="clear" w:color="auto" w:fill="auto"/>
                <w:rtl w:val="0"/>
                <w:lang w:val="en-US" w:eastAsia="zh-CN"/>
              </w:rPr>
              <w:t>以及</w:t>
            </w:r>
            <w:r>
              <w:rPr>
                <w:rFonts w:hint="eastAsia" w:ascii="等线" w:hAnsi="等线" w:eastAsia="宋体" w:cs="等线"/>
                <w:b w:val="0"/>
                <w:bCs w:val="0"/>
                <w:i w:val="0"/>
                <w:iCs w:val="0"/>
                <w:caps w:val="0"/>
                <w:smallCaps w:val="0"/>
                <w:strike w:val="0"/>
                <w:dstrike w:val="0"/>
                <w:outline w:val="0"/>
                <w:emboss w:val="0"/>
                <w:imprint w:val="0"/>
                <w:vanish w:val="0"/>
                <w:shd w:val="clear" w:color="auto" w:fill="auto"/>
                <w:rtl w:val="0"/>
                <w:lang w:val="en-US" w:eastAsia="zh-TW"/>
              </w:rPr>
              <w:t>中国学生营养与健康促进会发布的《中小学学生餐良好操作规范》</w:t>
            </w:r>
            <w:r>
              <w:rPr>
                <w:rFonts w:hint="eastAsia" w:ascii="等线" w:hAnsi="等线" w:eastAsia="宋体" w:cs="等线"/>
                <w:b w:val="0"/>
                <w:bCs w:val="0"/>
                <w:i w:val="0"/>
                <w:iCs w:val="0"/>
                <w:caps w:val="0"/>
                <w:smallCaps w:val="0"/>
                <w:strike w:val="0"/>
                <w:dstrike w:val="0"/>
                <w:outline w:val="0"/>
                <w:emboss w:val="0"/>
                <w:imprint w:val="0"/>
                <w:vanish w:val="0"/>
                <w:shd w:val="clear" w:color="auto" w:fill="auto"/>
                <w:rtl w:val="0"/>
                <w:lang w:val="zh-TW" w:eastAsia="zh-TW"/>
              </w:rPr>
              <w:t>相</w:t>
            </w:r>
            <w:r>
              <w:rPr>
                <w:rFonts w:hint="eastAsia" w:ascii="等线" w:hAnsi="等线" w:eastAsia="宋体" w:cs="等线"/>
                <w:shd w:val="clear" w:color="auto" w:fill="auto"/>
                <w:rtl w:val="0"/>
                <w:lang w:val="zh-TW" w:eastAsia="zh-TW"/>
              </w:rPr>
              <w:t>关要求，</w:t>
            </w:r>
            <w:r>
              <w:rPr>
                <w:rFonts w:hint="eastAsia" w:ascii="等线" w:hAnsi="等线" w:eastAsia="宋体" w:cs="等线"/>
                <w:shd w:val="clear" w:color="auto" w:fill="auto"/>
                <w:rtl w:val="0"/>
                <w:lang w:val="en-US" w:eastAsia="zh-CN"/>
              </w:rPr>
              <w:t>综合我国校园团餐服务企业</w:t>
            </w:r>
            <w:r>
              <w:rPr>
                <w:rFonts w:hint="eastAsia" w:ascii="等线" w:hAnsi="等线" w:eastAsia="宋体" w:cs="等线"/>
                <w:shd w:val="clear" w:color="auto" w:fill="auto"/>
                <w:rtl w:val="0"/>
                <w:lang w:val="zh-TW" w:eastAsia="zh-TW"/>
              </w:rPr>
              <w:t>发展</w:t>
            </w:r>
            <w:r>
              <w:rPr>
                <w:rFonts w:hint="eastAsia" w:ascii="等线" w:hAnsi="等线" w:eastAsia="宋体" w:cs="等线"/>
                <w:shd w:val="clear" w:color="auto" w:fill="auto"/>
                <w:rtl w:val="0"/>
                <w:lang w:val="en-US" w:eastAsia="zh-CN"/>
              </w:rPr>
              <w:t>实际</w:t>
            </w:r>
            <w:r>
              <w:rPr>
                <w:rFonts w:hint="eastAsia" w:ascii="等线" w:hAnsi="等线" w:eastAsia="宋体" w:cs="等线"/>
                <w:shd w:val="clear" w:color="auto" w:fill="auto"/>
                <w:rtl w:val="0"/>
                <w:lang w:val="zh-TW" w:eastAsia="zh-TW"/>
              </w:rPr>
              <w:t>情况进行编写。</w:t>
            </w:r>
          </w:p>
          <w:p w14:paraId="0216A172">
            <w:pPr>
              <w:pStyle w:val="8"/>
              <w:framePr w:wrap="auto" w:vAnchor="margin" w:hAnchor="text" w:yAlign="inline"/>
              <w:widowControl/>
              <w:tabs>
                <w:tab w:val="right" w:leader="dot" w:pos="8280"/>
                <w:tab w:val="clear" w:pos="9298"/>
              </w:tabs>
              <w:bidi w:val="0"/>
              <w:ind w:left="0" w:right="0" w:firstLine="420"/>
              <w:jc w:val="both"/>
              <w:rPr>
                <w:rFonts w:ascii="黑体" w:hAnsi="黑体" w:eastAsia="黑体" w:cs="黑体"/>
                <w:shd w:val="clear" w:color="auto" w:fill="auto"/>
                <w:rtl w:val="0"/>
              </w:rPr>
            </w:pPr>
            <w:r>
              <w:rPr>
                <w:rFonts w:ascii="黑体" w:hAnsi="黑体" w:eastAsia="黑体" w:cs="黑体"/>
                <w:shd w:val="clear" w:color="auto" w:fill="auto"/>
                <w:rtl w:val="0"/>
                <w:lang w:val="en-US"/>
              </w:rPr>
              <w:t xml:space="preserve">2. </w:t>
            </w:r>
            <w:r>
              <w:rPr>
                <w:rFonts w:ascii="黑体" w:hAnsi="黑体" w:eastAsia="黑体" w:cs="黑体"/>
                <w:b w:val="0"/>
                <w:bCs w:val="0"/>
                <w:i w:val="0"/>
                <w:iCs w:val="0"/>
                <w:caps w:val="0"/>
                <w:smallCaps w:val="0"/>
                <w:strike w:val="0"/>
                <w:dstrike w:val="0"/>
                <w:outline w:val="0"/>
                <w:emboss w:val="0"/>
                <w:imprint w:val="0"/>
                <w:vanish w:val="0"/>
                <w:shd w:val="clear" w:color="auto" w:fill="auto"/>
                <w:rtl w:val="0"/>
                <w:lang w:val="zh-TW" w:eastAsia="zh-TW"/>
              </w:rPr>
              <w:t>适用性</w:t>
            </w:r>
          </w:p>
          <w:p w14:paraId="4F36606A">
            <w:pPr>
              <w:framePr w:wrap="auto" w:vAnchor="margin" w:hAnchor="text" w:yAlign="inline"/>
              <w:shd w:val="clear" w:color="auto" w:fill="auto"/>
              <w:bidi w:val="0"/>
              <w:ind w:left="0" w:right="0" w:firstLine="420" w:firstLineChars="200"/>
              <w:jc w:val="both"/>
              <w:rPr>
                <w:rFonts w:hint="eastAsia" w:eastAsia="宋体"/>
                <w:b w:val="0"/>
                <w:bCs w:val="0"/>
                <w:i w:val="0"/>
                <w:iCs w:val="0"/>
                <w:caps w:val="0"/>
                <w:smallCaps w:val="0"/>
                <w:strike w:val="0"/>
                <w:dstrike w:val="0"/>
                <w:outline w:val="0"/>
                <w:emboss w:val="0"/>
                <w:imprint w:val="0"/>
                <w:vanish w:val="0"/>
                <w:shd w:val="clear" w:color="auto" w:fill="auto"/>
                <w:rtl w:val="0"/>
                <w:lang w:val="zh-TW" w:eastAsia="zh-TW"/>
              </w:rPr>
            </w:pPr>
            <w:r>
              <w:rPr>
                <w:rFonts w:hint="eastAsia" w:eastAsia="宋体"/>
                <w:b w:val="0"/>
                <w:bCs w:val="0"/>
                <w:i w:val="0"/>
                <w:iCs w:val="0"/>
                <w:caps w:val="0"/>
                <w:smallCaps w:val="0"/>
                <w:strike w:val="0"/>
                <w:dstrike w:val="0"/>
                <w:outline w:val="0"/>
                <w:emboss w:val="0"/>
                <w:imprint w:val="0"/>
                <w:vanish w:val="0"/>
                <w:shd w:val="clear" w:color="auto" w:fill="auto"/>
                <w:rtl w:val="0"/>
                <w:lang w:val="zh-TW" w:eastAsia="zh-TW"/>
              </w:rPr>
              <w:t>本文件的编制综合了</w:t>
            </w:r>
            <w:r>
              <w:rPr>
                <w:rFonts w:hint="eastAsia" w:eastAsia="宋体"/>
                <w:b w:val="0"/>
                <w:bCs w:val="0"/>
                <w:i w:val="0"/>
                <w:iCs w:val="0"/>
                <w:caps w:val="0"/>
                <w:smallCaps w:val="0"/>
                <w:strike w:val="0"/>
                <w:dstrike w:val="0"/>
                <w:outline w:val="0"/>
                <w:emboss w:val="0"/>
                <w:imprint w:val="0"/>
                <w:vanish w:val="0"/>
                <w:shd w:val="clear" w:color="auto" w:fill="auto"/>
                <w:rtl w:val="0"/>
                <w:lang w:val="en-US" w:eastAsia="zh-CN"/>
              </w:rPr>
              <w:t>教育主管部门</w:t>
            </w:r>
            <w:r>
              <w:rPr>
                <w:rFonts w:hint="eastAsia" w:eastAsia="宋体"/>
                <w:b w:val="0"/>
                <w:bCs w:val="0"/>
                <w:i w:val="0"/>
                <w:iCs w:val="0"/>
                <w:caps w:val="0"/>
                <w:smallCaps w:val="0"/>
                <w:strike w:val="0"/>
                <w:dstrike w:val="0"/>
                <w:outline w:val="0"/>
                <w:emboss w:val="0"/>
                <w:imprint w:val="0"/>
                <w:vanish w:val="0"/>
                <w:shd w:val="clear" w:color="auto" w:fill="auto"/>
                <w:rtl w:val="0"/>
                <w:lang w:val="zh-TW" w:eastAsia="zh-TW"/>
              </w:rPr>
              <w:t>、</w:t>
            </w:r>
            <w:r>
              <w:rPr>
                <w:rFonts w:hint="eastAsia" w:eastAsia="宋体"/>
                <w:b w:val="0"/>
                <w:bCs w:val="0"/>
                <w:i w:val="0"/>
                <w:iCs w:val="0"/>
                <w:caps w:val="0"/>
                <w:smallCaps w:val="0"/>
                <w:strike w:val="0"/>
                <w:dstrike w:val="0"/>
                <w:outline w:val="0"/>
                <w:emboss w:val="0"/>
                <w:imprint w:val="0"/>
                <w:vanish w:val="0"/>
                <w:shd w:val="clear" w:color="auto" w:fill="auto"/>
                <w:rtl w:val="0"/>
                <w:lang w:val="en-US" w:eastAsia="zh-CN"/>
              </w:rPr>
              <w:t>市场监管部门</w:t>
            </w:r>
            <w:r>
              <w:rPr>
                <w:rFonts w:hint="eastAsia" w:eastAsia="宋体"/>
                <w:b w:val="0"/>
                <w:bCs w:val="0"/>
                <w:i w:val="0"/>
                <w:iCs w:val="0"/>
                <w:caps w:val="0"/>
                <w:smallCaps w:val="0"/>
                <w:strike w:val="0"/>
                <w:dstrike w:val="0"/>
                <w:outline w:val="0"/>
                <w:emboss w:val="0"/>
                <w:imprint w:val="0"/>
                <w:vanish w:val="0"/>
                <w:shd w:val="clear" w:color="auto" w:fill="auto"/>
                <w:rtl w:val="0"/>
                <w:lang w:val="zh-TW" w:eastAsia="zh-TW"/>
              </w:rPr>
              <w:t>、</w:t>
            </w:r>
            <w:r>
              <w:rPr>
                <w:rFonts w:hint="eastAsia" w:eastAsia="宋体"/>
                <w:b w:val="0"/>
                <w:bCs w:val="0"/>
                <w:i w:val="0"/>
                <w:iCs w:val="0"/>
                <w:caps w:val="0"/>
                <w:smallCaps w:val="0"/>
                <w:strike w:val="0"/>
                <w:dstrike w:val="0"/>
                <w:outline w:val="0"/>
                <w:emboss w:val="0"/>
                <w:imprint w:val="0"/>
                <w:vanish w:val="0"/>
                <w:shd w:val="clear" w:color="auto" w:fill="auto"/>
                <w:rtl w:val="0"/>
                <w:lang w:val="en-US" w:eastAsia="zh-CN"/>
              </w:rPr>
              <w:t>农业农村主管部门对食品生产经营企业的政策法规要求和相关评价规则和规范</w:t>
            </w:r>
            <w:r>
              <w:rPr>
                <w:rFonts w:hint="eastAsia" w:eastAsia="宋体"/>
                <w:b w:val="0"/>
                <w:bCs w:val="0"/>
                <w:i w:val="0"/>
                <w:iCs w:val="0"/>
                <w:caps w:val="0"/>
                <w:smallCaps w:val="0"/>
                <w:strike w:val="0"/>
                <w:dstrike w:val="0"/>
                <w:outline w:val="0"/>
                <w:emboss w:val="0"/>
                <w:imprint w:val="0"/>
                <w:vanish w:val="0"/>
                <w:shd w:val="clear" w:color="auto" w:fill="auto"/>
                <w:rtl w:val="0"/>
                <w:lang w:val="zh-TW" w:eastAsia="zh-TW"/>
              </w:rPr>
              <w:t>等对</w:t>
            </w:r>
            <w:r>
              <w:rPr>
                <w:rFonts w:hint="eastAsia" w:eastAsia="宋体"/>
                <w:b w:val="0"/>
                <w:bCs w:val="0"/>
                <w:i w:val="0"/>
                <w:iCs w:val="0"/>
                <w:caps w:val="0"/>
                <w:smallCaps w:val="0"/>
                <w:strike w:val="0"/>
                <w:dstrike w:val="0"/>
                <w:outline w:val="0"/>
                <w:emboss w:val="0"/>
                <w:imprint w:val="0"/>
                <w:vanish w:val="0"/>
                <w:shd w:val="clear" w:color="auto" w:fill="auto"/>
                <w:rtl w:val="0"/>
                <w:lang w:val="en-US" w:eastAsia="zh-CN"/>
              </w:rPr>
              <w:t>校园团餐服务</w:t>
            </w:r>
            <w:r>
              <w:rPr>
                <w:rFonts w:hint="eastAsia" w:eastAsia="宋体"/>
                <w:b w:val="0"/>
                <w:bCs w:val="0"/>
                <w:i w:val="0"/>
                <w:iCs w:val="0"/>
                <w:caps w:val="0"/>
                <w:smallCaps w:val="0"/>
                <w:strike w:val="0"/>
                <w:dstrike w:val="0"/>
                <w:outline w:val="0"/>
                <w:emboss w:val="0"/>
                <w:imprint w:val="0"/>
                <w:vanish w:val="0"/>
                <w:shd w:val="clear" w:color="auto" w:fill="auto"/>
                <w:rtl w:val="0"/>
                <w:lang w:val="zh-TW" w:eastAsia="zh-TW"/>
              </w:rPr>
              <w:t>企业的</w:t>
            </w:r>
            <w:r>
              <w:rPr>
                <w:rFonts w:hint="eastAsia" w:eastAsia="宋体"/>
                <w:b w:val="0"/>
                <w:bCs w:val="0"/>
                <w:i w:val="0"/>
                <w:iCs w:val="0"/>
                <w:caps w:val="0"/>
                <w:smallCaps w:val="0"/>
                <w:strike w:val="0"/>
                <w:dstrike w:val="0"/>
                <w:outline w:val="0"/>
                <w:emboss w:val="0"/>
                <w:imprint w:val="0"/>
                <w:vanish w:val="0"/>
                <w:shd w:val="clear" w:color="auto" w:fill="auto"/>
                <w:rtl w:val="0"/>
                <w:lang w:val="en-US" w:eastAsia="zh-CN"/>
              </w:rPr>
              <w:t>合规生产经营情况</w:t>
            </w:r>
            <w:r>
              <w:rPr>
                <w:rFonts w:hint="eastAsia" w:eastAsia="宋体"/>
                <w:b w:val="0"/>
                <w:bCs w:val="0"/>
                <w:i w:val="0"/>
                <w:iCs w:val="0"/>
                <w:caps w:val="0"/>
                <w:smallCaps w:val="0"/>
                <w:strike w:val="0"/>
                <w:dstrike w:val="0"/>
                <w:outline w:val="0"/>
                <w:emboss w:val="0"/>
                <w:imprint w:val="0"/>
                <w:vanish w:val="0"/>
                <w:shd w:val="clear" w:color="auto" w:fill="auto"/>
                <w:rtl w:val="0"/>
                <w:lang w:val="zh-TW" w:eastAsia="zh-TW"/>
              </w:rPr>
              <w:t>进行系统评价，通过文件调查、文献检索、实地调研、组织研讨等方式，制订出符合我国</w:t>
            </w:r>
            <w:r>
              <w:rPr>
                <w:rFonts w:hint="eastAsia" w:eastAsia="宋体"/>
                <w:b w:val="0"/>
                <w:bCs w:val="0"/>
                <w:i w:val="0"/>
                <w:iCs w:val="0"/>
                <w:caps w:val="0"/>
                <w:smallCaps w:val="0"/>
                <w:strike w:val="0"/>
                <w:dstrike w:val="0"/>
                <w:outline w:val="0"/>
                <w:emboss w:val="0"/>
                <w:imprint w:val="0"/>
                <w:vanish w:val="0"/>
                <w:shd w:val="clear" w:color="auto" w:fill="auto"/>
                <w:rtl w:val="0"/>
                <w:lang w:val="en-US" w:eastAsia="zh-CN"/>
              </w:rPr>
              <w:t>校园团餐服务</w:t>
            </w:r>
            <w:r>
              <w:rPr>
                <w:rFonts w:hint="eastAsia" w:eastAsia="宋体"/>
                <w:b w:val="0"/>
                <w:bCs w:val="0"/>
                <w:i w:val="0"/>
                <w:iCs w:val="0"/>
                <w:caps w:val="0"/>
                <w:smallCaps w:val="0"/>
                <w:strike w:val="0"/>
                <w:dstrike w:val="0"/>
                <w:outline w:val="0"/>
                <w:emboss w:val="0"/>
                <w:imprint w:val="0"/>
                <w:vanish w:val="0"/>
                <w:shd w:val="clear" w:color="auto" w:fill="auto"/>
                <w:rtl w:val="0"/>
                <w:lang w:val="zh-TW" w:eastAsia="zh-TW"/>
              </w:rPr>
              <w:t>企业的</w:t>
            </w:r>
            <w:r>
              <w:rPr>
                <w:rFonts w:hint="eastAsia" w:eastAsia="宋体"/>
                <w:b w:val="0"/>
                <w:bCs w:val="0"/>
                <w:i w:val="0"/>
                <w:iCs w:val="0"/>
                <w:caps w:val="0"/>
                <w:smallCaps w:val="0"/>
                <w:strike w:val="0"/>
                <w:dstrike w:val="0"/>
                <w:outline w:val="0"/>
                <w:emboss w:val="0"/>
                <w:imprint w:val="0"/>
                <w:vanish w:val="0"/>
                <w:shd w:val="clear" w:color="auto" w:fill="auto"/>
                <w:rtl w:val="0"/>
                <w:lang w:val="en-US" w:eastAsia="zh-CN"/>
              </w:rPr>
              <w:t>星级</w:t>
            </w:r>
            <w:r>
              <w:rPr>
                <w:rFonts w:hint="eastAsia" w:eastAsia="宋体"/>
                <w:b w:val="0"/>
                <w:bCs w:val="0"/>
                <w:i w:val="0"/>
                <w:iCs w:val="0"/>
                <w:caps w:val="0"/>
                <w:smallCaps w:val="0"/>
                <w:strike w:val="0"/>
                <w:dstrike w:val="0"/>
                <w:outline w:val="0"/>
                <w:emboss w:val="0"/>
                <w:imprint w:val="0"/>
                <w:vanish w:val="0"/>
                <w:shd w:val="clear" w:color="auto" w:fill="auto"/>
                <w:rtl w:val="0"/>
                <w:lang w:val="zh-TW" w:eastAsia="zh-TW"/>
              </w:rPr>
              <w:t>评价技术规范，旨在推动和引领</w:t>
            </w:r>
            <w:r>
              <w:rPr>
                <w:rFonts w:hint="eastAsia" w:eastAsia="宋体"/>
                <w:b w:val="0"/>
                <w:bCs w:val="0"/>
                <w:i w:val="0"/>
                <w:iCs w:val="0"/>
                <w:caps w:val="0"/>
                <w:smallCaps w:val="0"/>
                <w:strike w:val="0"/>
                <w:dstrike w:val="0"/>
                <w:outline w:val="0"/>
                <w:emboss w:val="0"/>
                <w:imprint w:val="0"/>
                <w:vanish w:val="0"/>
                <w:shd w:val="clear" w:color="auto" w:fill="auto"/>
                <w:rtl w:val="0"/>
                <w:lang w:val="en-US" w:eastAsia="zh-CN"/>
              </w:rPr>
              <w:t>校园团餐服务行业</w:t>
            </w:r>
            <w:r>
              <w:rPr>
                <w:rFonts w:hint="eastAsia" w:eastAsia="宋体"/>
                <w:b w:val="0"/>
                <w:bCs w:val="0"/>
                <w:i w:val="0"/>
                <w:iCs w:val="0"/>
                <w:caps w:val="0"/>
                <w:smallCaps w:val="0"/>
                <w:strike w:val="0"/>
                <w:dstrike w:val="0"/>
                <w:outline w:val="0"/>
                <w:emboss w:val="0"/>
                <w:imprint w:val="0"/>
                <w:vanish w:val="0"/>
                <w:shd w:val="clear" w:color="auto" w:fill="auto"/>
                <w:rtl w:val="0"/>
                <w:lang w:val="zh-TW" w:eastAsia="zh-TW"/>
              </w:rPr>
              <w:t>可持续发展。</w:t>
            </w:r>
          </w:p>
          <w:p w14:paraId="6B20108D">
            <w:pPr>
              <w:pStyle w:val="8"/>
              <w:framePr w:wrap="auto" w:vAnchor="margin" w:hAnchor="text" w:yAlign="inline"/>
              <w:widowControl/>
              <w:tabs>
                <w:tab w:val="right" w:leader="dot" w:pos="8280"/>
                <w:tab w:val="clear" w:pos="9298"/>
              </w:tabs>
              <w:bidi w:val="0"/>
              <w:ind w:left="0" w:right="0" w:firstLine="420"/>
              <w:jc w:val="both"/>
              <w:rPr>
                <w:rFonts w:ascii="黑体" w:hAnsi="黑体" w:eastAsia="黑体" w:cs="黑体"/>
                <w:shd w:val="clear" w:color="auto" w:fill="auto"/>
                <w:rtl w:val="0"/>
              </w:rPr>
            </w:pPr>
            <w:r>
              <w:rPr>
                <w:rFonts w:ascii="黑体" w:hAnsi="黑体" w:eastAsia="黑体" w:cs="黑体"/>
                <w:shd w:val="clear" w:color="auto" w:fill="auto"/>
                <w:rtl w:val="0"/>
                <w:lang w:val="en-US"/>
              </w:rPr>
              <w:t xml:space="preserve">3. </w:t>
            </w:r>
            <w:r>
              <w:rPr>
                <w:rFonts w:ascii="黑体" w:hAnsi="黑体" w:eastAsia="黑体" w:cs="黑体"/>
                <w:shd w:val="clear" w:color="auto" w:fill="auto"/>
                <w:rtl w:val="0"/>
                <w:lang w:val="zh-TW" w:eastAsia="zh-TW"/>
              </w:rPr>
              <w:t>可操作性</w:t>
            </w:r>
          </w:p>
          <w:p w14:paraId="0A9F0A7D">
            <w:pPr>
              <w:pStyle w:val="8"/>
              <w:framePr w:wrap="auto" w:vAnchor="margin" w:hAnchor="text" w:yAlign="inline"/>
              <w:widowControl/>
              <w:tabs>
                <w:tab w:val="right" w:leader="dot" w:pos="8280"/>
                <w:tab w:val="clear" w:pos="9298"/>
              </w:tabs>
              <w:bidi w:val="0"/>
              <w:ind w:left="0" w:right="0" w:firstLine="420"/>
              <w:jc w:val="both"/>
              <w:rPr>
                <w:rFonts w:ascii="Times New Roman" w:hAnsi="Times New Roman" w:eastAsia="Times New Roman" w:cs="Times New Roman"/>
                <w:shd w:val="clear" w:color="auto" w:fill="auto"/>
                <w:rtl w:val="0"/>
              </w:rPr>
            </w:pPr>
            <w:r>
              <w:rPr>
                <w:rFonts w:hint="eastAsia" w:eastAsia="宋体"/>
                <w:shd w:val="clear" w:color="auto" w:fill="auto"/>
                <w:rtl w:val="0"/>
                <w:lang w:val="zh-TW" w:eastAsia="zh-TW"/>
              </w:rPr>
              <w:t>本文件的编制吸纳了具有理论基础雄厚、实践经验丰富的相关方共同参与，使标准具有更强的可操作性。</w:t>
            </w:r>
          </w:p>
          <w:p w14:paraId="52F1AE69">
            <w:pPr>
              <w:pStyle w:val="8"/>
              <w:framePr w:wrap="auto" w:vAnchor="margin" w:hAnchor="text" w:yAlign="inline"/>
              <w:widowControl/>
              <w:tabs>
                <w:tab w:val="right" w:leader="dot" w:pos="8280"/>
                <w:tab w:val="clear" w:pos="9298"/>
              </w:tabs>
              <w:bidi w:val="0"/>
              <w:ind w:left="0" w:right="0" w:firstLine="420"/>
              <w:jc w:val="both"/>
              <w:rPr>
                <w:rFonts w:ascii="黑体" w:hAnsi="黑体" w:eastAsia="黑体" w:cs="黑体"/>
                <w:shd w:val="clear" w:color="auto" w:fill="auto"/>
                <w:rtl w:val="0"/>
              </w:rPr>
            </w:pPr>
            <w:r>
              <w:rPr>
                <w:rFonts w:ascii="黑体" w:hAnsi="黑体" w:eastAsia="黑体" w:cs="黑体"/>
                <w:shd w:val="clear" w:color="auto" w:fill="auto"/>
                <w:rtl w:val="0"/>
                <w:lang w:val="en-US"/>
              </w:rPr>
              <w:t xml:space="preserve">4. </w:t>
            </w:r>
            <w:r>
              <w:rPr>
                <w:rFonts w:ascii="黑体" w:hAnsi="黑体" w:eastAsia="黑体" w:cs="黑体"/>
                <w:shd w:val="clear" w:color="auto" w:fill="auto"/>
                <w:rtl w:val="0"/>
                <w:lang w:val="zh-TW" w:eastAsia="zh-TW"/>
              </w:rPr>
              <w:t>持续改进</w:t>
            </w:r>
          </w:p>
          <w:p w14:paraId="70F958E5">
            <w:pPr>
              <w:pStyle w:val="8"/>
              <w:framePr w:wrap="auto" w:vAnchor="margin" w:hAnchor="text" w:yAlign="inline"/>
              <w:widowControl/>
              <w:tabs>
                <w:tab w:val="right" w:leader="dot" w:pos="8280"/>
                <w:tab w:val="clear" w:pos="9298"/>
              </w:tabs>
              <w:bidi w:val="0"/>
              <w:ind w:left="0" w:right="0" w:firstLine="420"/>
              <w:jc w:val="both"/>
              <w:rPr>
                <w:rtl w:val="0"/>
              </w:rPr>
            </w:pPr>
            <w:r>
              <w:rPr>
                <w:rFonts w:hint="eastAsia" w:eastAsia="宋体"/>
                <w:shd w:val="clear" w:color="auto" w:fill="auto"/>
                <w:rtl w:val="0"/>
                <w:lang w:val="zh-TW" w:eastAsia="zh-TW"/>
              </w:rPr>
              <w:t>该文件将考虑</w:t>
            </w:r>
            <w:r>
              <w:rPr>
                <w:rFonts w:hint="eastAsia" w:eastAsia="宋体"/>
                <w:b w:val="0"/>
                <w:bCs w:val="0"/>
                <w:i w:val="0"/>
                <w:iCs w:val="0"/>
                <w:caps w:val="0"/>
                <w:smallCaps w:val="0"/>
                <w:strike w:val="0"/>
                <w:dstrike w:val="0"/>
                <w:vanish w:val="0"/>
                <w:shd w:val="clear" w:color="auto" w:fill="auto"/>
                <w:rtl w:val="0"/>
                <w:lang w:val="en-US" w:eastAsia="zh-CN"/>
              </w:rPr>
              <w:t>校园团餐服务企业</w:t>
            </w:r>
            <w:r>
              <w:rPr>
                <w:rFonts w:hint="eastAsia" w:eastAsia="宋体"/>
                <w:shd w:val="clear" w:color="auto" w:fill="auto"/>
                <w:rtl w:val="0"/>
                <w:lang w:val="zh-TW" w:eastAsia="zh-TW"/>
              </w:rPr>
              <w:t>的实际发展情况，根据相应结果进行持续</w:t>
            </w:r>
            <w:r>
              <w:rPr>
                <w:rFonts w:hint="eastAsia" w:eastAsia="宋体"/>
                <w:shd w:val="clear" w:color="auto" w:fill="auto"/>
                <w:rtl w:val="0"/>
                <w:lang w:val="en-US" w:eastAsia="zh-CN"/>
              </w:rPr>
              <w:t>改进</w:t>
            </w:r>
            <w:r>
              <w:rPr>
                <w:rFonts w:hint="eastAsia" w:eastAsia="宋体"/>
                <w:shd w:val="clear" w:color="auto" w:fill="auto"/>
                <w:rtl w:val="0"/>
                <w:lang w:val="zh-TW" w:eastAsia="zh-TW"/>
              </w:rPr>
              <w:t>和发展。</w:t>
            </w:r>
          </w:p>
        </w:tc>
      </w:tr>
      <w:tr w14:paraId="5AA2451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3485" w:hRule="atLeast"/>
          <w:jc w:val="center"/>
        </w:trPr>
        <w:tc>
          <w:tcPr>
            <w:tcW w:w="177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256" w:type="dxa"/>
            </w:tcMar>
            <w:vAlign w:val="center"/>
          </w:tcPr>
          <w:p w14:paraId="253AFC91">
            <w:pPr>
              <w:framePr w:wrap="auto" w:vAnchor="margin" w:hAnchor="text" w:yAlign="inline"/>
              <w:ind w:right="176"/>
              <w:jc w:val="center"/>
            </w:pPr>
            <w:r>
              <w:rPr>
                <w:rFonts w:hint="eastAsia" w:eastAsia="宋体"/>
                <w:shd w:val="clear" w:color="auto" w:fill="auto"/>
                <w:rtl w:val="0"/>
                <w:lang w:val="zh-TW" w:eastAsia="zh-TW"/>
              </w:rPr>
              <w:t>标准主要内容及其相关说明</w:t>
            </w:r>
          </w:p>
        </w:tc>
        <w:tc>
          <w:tcPr>
            <w:tcW w:w="7611"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A44F511">
            <w:pPr>
              <w:pStyle w:val="8"/>
              <w:framePr w:wrap="auto" w:vAnchor="margin" w:hAnchor="text" w:yAlign="inline"/>
              <w:shd w:val="clear" w:color="auto" w:fill="auto"/>
              <w:ind w:left="0" w:leftChars="0" w:firstLine="0" w:firstLineChars="0"/>
              <w:rPr>
                <w:rFonts w:hint="eastAsia" w:cs="Times New Roman"/>
                <w:b w:val="0"/>
                <w:bCs w:val="0"/>
                <w:i w:val="0"/>
                <w:iCs w:val="0"/>
                <w:caps w:val="0"/>
                <w:smallCaps w:val="0"/>
                <w:strike w:val="0"/>
                <w:dstrike w:val="0"/>
                <w:outline w:val="0"/>
                <w:emboss w:val="0"/>
                <w:imprint w:val="0"/>
                <w:vanish w:val="0"/>
                <w:rtl w:val="0"/>
                <w:lang w:val="zh-TW" w:eastAsia="zh-TW"/>
              </w:rPr>
            </w:pPr>
            <w:r>
              <w:rPr>
                <w:rFonts w:cs="Times New Roman"/>
              </w:rPr>
              <w:t>本文件</w:t>
            </w:r>
            <w:r>
              <w:rPr>
                <w:rFonts w:hint="eastAsia" w:cs="Times New Roman"/>
                <w:lang w:val="en-US" w:eastAsia="zh-CN"/>
              </w:rPr>
              <w:t>主要内容包括</w:t>
            </w:r>
            <w:r>
              <w:rPr>
                <w:rFonts w:hint="eastAsia" w:cs="Times New Roman"/>
              </w:rPr>
              <w:t>校园团餐服务</w:t>
            </w:r>
            <w:r>
              <w:rPr>
                <w:rFonts w:cs="Times New Roman"/>
              </w:rPr>
              <w:t>企业</w:t>
            </w:r>
            <w:r>
              <w:rPr>
                <w:rFonts w:hint="eastAsia" w:cs="Times New Roman"/>
              </w:rPr>
              <w:t>星级</w:t>
            </w:r>
            <w:r>
              <w:rPr>
                <w:rFonts w:cs="Times New Roman"/>
              </w:rPr>
              <w:t>评价的基本</w:t>
            </w:r>
            <w:r>
              <w:rPr>
                <w:rFonts w:hint="eastAsia" w:cs="Times New Roman"/>
              </w:rPr>
              <w:t>原则</w:t>
            </w:r>
            <w:r>
              <w:rPr>
                <w:rFonts w:cs="Times New Roman"/>
              </w:rPr>
              <w:t>、</w:t>
            </w:r>
            <w:bookmarkStart w:id="0" w:name="_Hlk161305474"/>
            <w:r>
              <w:rPr>
                <w:rFonts w:hint="eastAsia" w:ascii="宋体" w:hAnsi="宋体" w:cs="宋体"/>
              </w:rPr>
              <w:t>基本条件、管理要求，评价体系与取值规则</w:t>
            </w:r>
            <w:r>
              <w:rPr>
                <w:rFonts w:hint="eastAsia" w:cs="Times New Roman"/>
                <w:b w:val="0"/>
                <w:bCs w:val="0"/>
                <w:i w:val="0"/>
                <w:iCs w:val="0"/>
                <w:caps w:val="0"/>
                <w:smallCaps w:val="0"/>
                <w:strike w:val="0"/>
                <w:dstrike w:val="0"/>
                <w:outline w:val="0"/>
                <w:emboss w:val="0"/>
                <w:imprint w:val="0"/>
                <w:vanish w:val="0"/>
              </w:rPr>
              <w:t>、评价报告</w:t>
            </w:r>
            <w:r>
              <w:rPr>
                <w:rFonts w:cs="Times New Roman"/>
                <w:b w:val="0"/>
                <w:bCs w:val="0"/>
                <w:i w:val="0"/>
                <w:iCs w:val="0"/>
                <w:caps w:val="0"/>
                <w:smallCaps w:val="0"/>
                <w:strike w:val="0"/>
                <w:dstrike w:val="0"/>
                <w:outline w:val="0"/>
                <w:emboss w:val="0"/>
                <w:imprint w:val="0"/>
                <w:vanish w:val="0"/>
              </w:rPr>
              <w:t>。</w:t>
            </w:r>
            <w:bookmarkEnd w:id="0"/>
            <w:r>
              <w:rPr>
                <w:rFonts w:hint="eastAsia" w:cs="Times New Roman"/>
                <w:b w:val="0"/>
                <w:bCs w:val="0"/>
                <w:i w:val="0"/>
                <w:iCs w:val="0"/>
                <w:caps w:val="0"/>
                <w:smallCaps w:val="0"/>
                <w:strike w:val="0"/>
                <w:dstrike w:val="0"/>
                <w:outline w:val="0"/>
                <w:emboss w:val="0"/>
                <w:imprint w:val="0"/>
                <w:vanish w:val="0"/>
                <w:lang w:val="en-US" w:eastAsia="zh-CN"/>
              </w:rPr>
              <w:t>明确</w:t>
            </w:r>
            <w:r>
              <w:rPr>
                <w:rFonts w:cs="Times New Roman"/>
                <w:b w:val="0"/>
                <w:bCs w:val="0"/>
                <w:i w:val="0"/>
                <w:iCs w:val="0"/>
                <w:caps w:val="0"/>
                <w:smallCaps w:val="0"/>
                <w:strike w:val="0"/>
                <w:dstrike w:val="0"/>
                <w:outline w:val="0"/>
                <w:emboss w:val="0"/>
                <w:imprint w:val="0"/>
                <w:vanish w:val="0"/>
              </w:rPr>
              <w:t>本文件适用于</w:t>
            </w:r>
            <w:r>
              <w:rPr>
                <w:rFonts w:hint="eastAsia" w:cs="Times New Roman"/>
                <w:b w:val="0"/>
                <w:bCs w:val="0"/>
                <w:i w:val="0"/>
                <w:iCs w:val="0"/>
                <w:caps w:val="0"/>
                <w:smallCaps w:val="0"/>
                <w:strike w:val="0"/>
                <w:dstrike w:val="0"/>
                <w:outline w:val="0"/>
                <w:emboss w:val="0"/>
                <w:imprint w:val="0"/>
                <w:vanish w:val="0"/>
              </w:rPr>
              <w:t>校园团餐服务供应商及校园团餐食材供应商星级</w:t>
            </w:r>
            <w:r>
              <w:rPr>
                <w:rFonts w:cs="Times New Roman"/>
                <w:b w:val="0"/>
                <w:bCs w:val="0"/>
                <w:i w:val="0"/>
                <w:iCs w:val="0"/>
                <w:caps w:val="0"/>
                <w:smallCaps w:val="0"/>
                <w:strike w:val="0"/>
                <w:dstrike w:val="0"/>
                <w:outline w:val="0"/>
                <w:emboss w:val="0"/>
                <w:imprint w:val="0"/>
                <w:vanish w:val="0"/>
              </w:rPr>
              <w:t>评价活动。</w:t>
            </w:r>
          </w:p>
          <w:p w14:paraId="601FC413">
            <w:pPr>
              <w:framePr w:wrap="auto" w:vAnchor="margin" w:hAnchor="text" w:yAlign="inline"/>
              <w:bidi w:val="0"/>
              <w:ind w:left="0" w:right="0" w:firstLine="0"/>
              <w:jc w:val="both"/>
              <w:rPr>
                <w:rFonts w:ascii="Times New Roman" w:hAnsi="Times New Roman" w:eastAsia="Times New Roman" w:cs="Times New Roman"/>
                <w:b/>
                <w:bCs/>
                <w:shd w:val="clear" w:color="auto" w:fill="auto"/>
                <w:rtl w:val="0"/>
              </w:rPr>
            </w:pPr>
            <w:r>
              <w:rPr>
                <w:rFonts w:ascii="Times New Roman" w:hAnsi="Times New Roman"/>
                <w:b/>
                <w:bCs/>
                <w:shd w:val="clear" w:color="auto" w:fill="auto"/>
                <w:rtl w:val="0"/>
                <w:lang w:val="en-US"/>
              </w:rPr>
              <w:t xml:space="preserve">1. </w:t>
            </w:r>
            <w:r>
              <w:rPr>
                <w:rFonts w:hint="eastAsia" w:eastAsia="宋体"/>
                <w:b/>
                <w:bCs/>
                <w:shd w:val="clear" w:color="auto" w:fill="auto"/>
                <w:rtl w:val="0"/>
                <w:lang w:val="zh-TW" w:eastAsia="zh-TW"/>
              </w:rPr>
              <w:t>规范性引用文件</w:t>
            </w:r>
          </w:p>
          <w:p w14:paraId="5B7DA3F4">
            <w:pPr>
              <w:framePr w:wrap="auto" w:vAnchor="margin" w:hAnchor="text" w:yAlign="inline"/>
              <w:bidi w:val="0"/>
              <w:ind w:left="0" w:right="0" w:firstLine="0"/>
              <w:jc w:val="both"/>
              <w:rPr>
                <w:rFonts w:ascii="Times New Roman" w:hAnsi="Times New Roman" w:eastAsia="Times New Roman" w:cs="Times New Roman"/>
                <w:shd w:val="clear" w:color="auto" w:fill="auto"/>
                <w:rtl w:val="0"/>
              </w:rPr>
            </w:pPr>
            <w:r>
              <w:rPr>
                <w:rFonts w:hint="eastAsia" w:eastAsia="宋体"/>
                <w:shd w:val="clear" w:color="auto" w:fill="auto"/>
                <w:rtl w:val="0"/>
                <w:lang w:val="zh-TW" w:eastAsia="zh-TW"/>
              </w:rPr>
              <w:t>下列文件中的内容通过文中的规范性引用而构成本文件必不可少的条款。</w:t>
            </w:r>
          </w:p>
          <w:p w14:paraId="17FBD87F">
            <w:pPr>
              <w:framePr w:wrap="auto" w:vAnchor="margin" w:hAnchor="text" w:yAlign="inline"/>
              <w:bidi w:val="0"/>
              <w:ind w:left="0" w:right="0" w:firstLine="0"/>
              <w:jc w:val="both"/>
              <w:rPr>
                <w:rFonts w:ascii="Times New Roman" w:hAnsi="Times New Roman" w:eastAsia="Times New Roman" w:cs="Times New Roman"/>
                <w:b/>
                <w:bCs/>
                <w:shd w:val="clear" w:color="auto" w:fill="auto"/>
                <w:rtl w:val="0"/>
              </w:rPr>
            </w:pPr>
            <w:r>
              <w:rPr>
                <w:rFonts w:ascii="Times New Roman" w:hAnsi="Times New Roman"/>
                <w:b/>
                <w:bCs/>
                <w:shd w:val="clear" w:color="auto" w:fill="auto"/>
                <w:rtl w:val="0"/>
                <w:lang w:val="en-US"/>
              </w:rPr>
              <w:t xml:space="preserve">2. </w:t>
            </w:r>
            <w:r>
              <w:rPr>
                <w:rFonts w:hint="eastAsia" w:eastAsia="宋体"/>
                <w:b/>
                <w:bCs/>
                <w:shd w:val="clear" w:color="auto" w:fill="auto"/>
                <w:rtl w:val="0"/>
                <w:lang w:val="zh-TW" w:eastAsia="zh-TW"/>
              </w:rPr>
              <w:t>术语和定义</w:t>
            </w:r>
          </w:p>
          <w:p w14:paraId="3DBF0A3F">
            <w:pPr>
              <w:framePr w:wrap="auto" w:vAnchor="margin" w:hAnchor="text" w:yAlign="inline"/>
              <w:bidi w:val="0"/>
              <w:ind w:left="0" w:right="0" w:firstLine="0"/>
              <w:jc w:val="both"/>
              <w:rPr>
                <w:rFonts w:ascii="Times New Roman" w:hAnsi="Times New Roman" w:eastAsia="Times New Roman" w:cs="Times New Roman"/>
                <w:shd w:val="clear" w:color="auto" w:fill="auto"/>
                <w:rtl w:val="0"/>
              </w:rPr>
            </w:pPr>
            <w:r>
              <w:rPr>
                <w:rFonts w:hint="eastAsia" w:eastAsia="宋体"/>
                <w:shd w:val="clear" w:color="auto" w:fill="auto"/>
                <w:rtl w:val="0"/>
                <w:lang w:val="zh-TW" w:eastAsia="zh-TW"/>
              </w:rPr>
              <w:t>列出了校园团餐、校园团餐服务供应商、校园团餐食材供应商、中央厨房、评价主体等重点术语。</w:t>
            </w:r>
          </w:p>
          <w:p w14:paraId="515B87F2">
            <w:pPr>
              <w:framePr w:wrap="auto" w:vAnchor="margin" w:hAnchor="text" w:yAlign="inline"/>
              <w:bidi w:val="0"/>
              <w:ind w:left="0" w:right="0" w:firstLine="0"/>
              <w:jc w:val="both"/>
              <w:rPr>
                <w:rFonts w:hint="eastAsia" w:ascii="Times New Roman" w:hAnsi="Times New Roman" w:eastAsia="宋体" w:cs="Times New Roman"/>
                <w:b/>
                <w:bCs/>
                <w:shd w:val="clear" w:color="auto" w:fill="auto"/>
                <w:rtl w:val="0"/>
                <w:lang w:val="en-US" w:eastAsia="zh-CN"/>
              </w:rPr>
            </w:pPr>
            <w:r>
              <w:rPr>
                <w:rFonts w:ascii="Times New Roman" w:hAnsi="Times New Roman"/>
                <w:b/>
                <w:bCs/>
                <w:shd w:val="clear" w:color="auto" w:fill="auto"/>
                <w:rtl w:val="0"/>
                <w:lang w:val="en-US"/>
              </w:rPr>
              <w:t xml:space="preserve">3. </w:t>
            </w:r>
            <w:r>
              <w:rPr>
                <w:rFonts w:hint="eastAsia" w:eastAsia="宋体"/>
                <w:b/>
                <w:bCs/>
                <w:shd w:val="clear" w:color="auto" w:fill="auto"/>
                <w:rtl w:val="0"/>
                <w:lang w:val="zh-TW" w:eastAsia="zh-TW"/>
              </w:rPr>
              <w:t>基本</w:t>
            </w:r>
            <w:r>
              <w:rPr>
                <w:rFonts w:hint="eastAsia" w:eastAsia="宋体"/>
                <w:b/>
                <w:bCs/>
                <w:shd w:val="clear" w:color="auto" w:fill="auto"/>
                <w:rtl w:val="0"/>
                <w:lang w:val="en-US" w:eastAsia="zh-CN"/>
              </w:rPr>
              <w:t>原则</w:t>
            </w:r>
          </w:p>
          <w:p w14:paraId="1EBF0A22">
            <w:pPr>
              <w:framePr w:wrap="auto" w:vAnchor="margin" w:hAnchor="text" w:yAlign="inline"/>
              <w:bidi w:val="0"/>
              <w:ind w:left="0" w:right="0" w:firstLine="0"/>
              <w:jc w:val="both"/>
              <w:rPr>
                <w:rFonts w:ascii="Times New Roman" w:hAnsi="Times New Roman" w:eastAsia="Times New Roman" w:cs="Times New Roman"/>
                <w:shd w:val="clear" w:color="auto" w:fill="auto"/>
                <w:rtl w:val="0"/>
              </w:rPr>
            </w:pPr>
            <w:r>
              <w:rPr>
                <w:rFonts w:hint="eastAsia" w:eastAsia="宋体"/>
                <w:shd w:val="clear" w:color="auto" w:fill="auto"/>
                <w:rtl w:val="0"/>
                <w:lang w:val="en-US" w:eastAsia="zh-CN"/>
              </w:rPr>
              <w:t>包括了自愿评价、持续提升；食品安全、营养健康；体系健全，管理先进；资源节约，绿色发展四项基本原则</w:t>
            </w:r>
            <w:r>
              <w:rPr>
                <w:rFonts w:hint="eastAsia" w:eastAsia="宋体"/>
                <w:shd w:val="clear" w:color="auto" w:fill="auto"/>
                <w:rtl w:val="0"/>
                <w:lang w:val="zh-TW" w:eastAsia="zh-TW"/>
              </w:rPr>
              <w:t>。</w:t>
            </w:r>
          </w:p>
          <w:p w14:paraId="3ACD9395">
            <w:pPr>
              <w:framePr w:wrap="auto" w:vAnchor="margin" w:hAnchor="text" w:yAlign="inline"/>
              <w:bidi w:val="0"/>
              <w:ind w:left="0" w:right="0" w:firstLine="0"/>
              <w:jc w:val="both"/>
              <w:rPr>
                <w:rFonts w:ascii="Times New Roman" w:hAnsi="Times New Roman" w:eastAsia="Times New Roman" w:cs="Times New Roman"/>
                <w:b/>
                <w:bCs/>
                <w:shd w:val="clear" w:color="auto" w:fill="auto"/>
                <w:rtl w:val="0"/>
              </w:rPr>
            </w:pPr>
            <w:r>
              <w:rPr>
                <w:rFonts w:ascii="Times New Roman" w:hAnsi="Times New Roman"/>
                <w:b/>
                <w:bCs/>
                <w:shd w:val="clear" w:color="auto" w:fill="auto"/>
                <w:rtl w:val="0"/>
                <w:lang w:val="en-US"/>
              </w:rPr>
              <w:t xml:space="preserve">4. </w:t>
            </w:r>
            <w:r>
              <w:rPr>
                <w:rFonts w:hint="eastAsia" w:eastAsia="宋体"/>
                <w:b/>
                <w:bCs/>
                <w:shd w:val="clear" w:color="auto" w:fill="auto"/>
                <w:rtl w:val="0"/>
                <w:lang w:val="en-US" w:eastAsia="zh-CN"/>
              </w:rPr>
              <w:t>基本条件</w:t>
            </w:r>
          </w:p>
          <w:p w14:paraId="0556B82C">
            <w:pPr>
              <w:framePr w:wrap="auto" w:vAnchor="margin" w:hAnchor="text" w:yAlign="inline"/>
              <w:bidi w:val="0"/>
              <w:ind w:left="0" w:right="0" w:firstLine="0"/>
              <w:jc w:val="both"/>
              <w:rPr>
                <w:rFonts w:ascii="Times New Roman" w:hAnsi="Times New Roman" w:eastAsia="Times New Roman" w:cs="Times New Roman"/>
                <w:shd w:val="clear" w:color="auto" w:fill="auto"/>
                <w:rtl w:val="0"/>
              </w:rPr>
            </w:pPr>
            <w:r>
              <w:rPr>
                <w:rFonts w:hint="eastAsia" w:eastAsia="宋体"/>
                <w:shd w:val="clear" w:color="auto" w:fill="auto"/>
                <w:rtl w:val="0"/>
                <w:lang w:val="en-US" w:eastAsia="zh-CN"/>
              </w:rPr>
              <w:t>要求申请星级评价的企业须满足七个基本条件</w:t>
            </w:r>
            <w:r>
              <w:rPr>
                <w:rFonts w:hint="eastAsia" w:eastAsia="宋体"/>
                <w:shd w:val="clear" w:color="auto" w:fill="auto"/>
                <w:rtl w:val="0"/>
                <w:lang w:val="zh-TW" w:eastAsia="zh-TW"/>
              </w:rPr>
              <w:t>。</w:t>
            </w:r>
          </w:p>
          <w:p w14:paraId="393811C1">
            <w:pPr>
              <w:framePr w:wrap="auto" w:vAnchor="margin" w:hAnchor="text" w:yAlign="inline"/>
              <w:bidi w:val="0"/>
              <w:ind w:left="0" w:right="0" w:firstLine="0"/>
              <w:jc w:val="both"/>
              <w:rPr>
                <w:rFonts w:hint="eastAsia" w:ascii="Times New Roman" w:hAnsi="Times New Roman" w:eastAsia="等线" w:cs="Times New Roman"/>
                <w:b/>
                <w:bCs/>
                <w:shd w:val="clear" w:color="auto" w:fill="auto"/>
                <w:rtl w:val="0"/>
                <w:lang w:eastAsia="zh-CN"/>
              </w:rPr>
            </w:pPr>
            <w:r>
              <w:rPr>
                <w:rFonts w:ascii="Times New Roman" w:hAnsi="Times New Roman"/>
                <w:b/>
                <w:bCs/>
                <w:shd w:val="clear" w:color="auto" w:fill="auto"/>
                <w:rtl w:val="0"/>
                <w:lang w:val="en-US"/>
              </w:rPr>
              <w:t xml:space="preserve">5. </w:t>
            </w:r>
            <w:r>
              <w:rPr>
                <w:rFonts w:hint="eastAsia" w:eastAsia="宋体"/>
                <w:b/>
                <w:bCs/>
                <w:shd w:val="clear" w:color="auto" w:fill="auto"/>
                <w:rtl w:val="0"/>
                <w:lang w:val="en-US" w:eastAsia="zh-CN"/>
              </w:rPr>
              <w:t>管理要求</w:t>
            </w:r>
          </w:p>
          <w:p w14:paraId="0F26C405">
            <w:pPr>
              <w:framePr w:wrap="auto" w:vAnchor="margin" w:hAnchor="text" w:yAlign="inline"/>
              <w:bidi w:val="0"/>
              <w:ind w:left="0" w:right="0" w:firstLine="0"/>
              <w:jc w:val="both"/>
              <w:rPr>
                <w:rFonts w:ascii="Times New Roman" w:hAnsi="Times New Roman" w:eastAsia="Times New Roman" w:cs="Times New Roman"/>
                <w:shd w:val="clear" w:color="auto" w:fill="auto"/>
                <w:rtl w:val="0"/>
              </w:rPr>
            </w:pPr>
            <w:r>
              <w:rPr>
                <w:rFonts w:hint="eastAsia" w:eastAsia="宋体"/>
                <w:shd w:val="clear" w:color="auto" w:fill="auto"/>
                <w:rtl w:val="0"/>
                <w:lang w:val="en-US" w:eastAsia="zh-CN"/>
              </w:rPr>
              <w:t>包括了</w:t>
            </w:r>
            <w:r>
              <w:rPr>
                <w:rFonts w:hint="eastAsia" w:eastAsia="宋体"/>
                <w:shd w:val="clear" w:color="auto" w:fill="auto"/>
                <w:rtl w:val="0"/>
                <w:lang w:val="zh-TW" w:eastAsia="zh-TW"/>
              </w:rPr>
              <w:t>通用要求，管理机构、人员、制度，餐饮产品服务质量，检验，设施设备，营养管理，反对餐饮浪费</w:t>
            </w:r>
            <w:r>
              <w:rPr>
                <w:rFonts w:hint="eastAsia" w:eastAsia="宋体"/>
                <w:shd w:val="clear" w:color="auto" w:fill="auto"/>
                <w:rtl w:val="0"/>
                <w:lang w:val="en-US" w:eastAsia="zh-CN"/>
              </w:rPr>
              <w:t>和</w:t>
            </w:r>
            <w:r>
              <w:rPr>
                <w:rFonts w:hint="eastAsia" w:eastAsia="宋体"/>
                <w:shd w:val="clear" w:color="auto" w:fill="auto"/>
                <w:rtl w:val="0"/>
                <w:lang w:val="zh-TW" w:eastAsia="zh-TW"/>
              </w:rPr>
              <w:t>绿色环保</w:t>
            </w:r>
            <w:r>
              <w:rPr>
                <w:rFonts w:hint="eastAsia" w:eastAsia="宋体"/>
                <w:shd w:val="clear" w:color="auto" w:fill="auto"/>
                <w:rtl w:val="0"/>
                <w:lang w:val="en-US" w:eastAsia="zh-CN"/>
              </w:rPr>
              <w:t>等七个方面</w:t>
            </w:r>
            <w:r>
              <w:rPr>
                <w:rFonts w:hint="eastAsia" w:eastAsia="宋体"/>
                <w:shd w:val="clear" w:color="auto" w:fill="auto"/>
                <w:rtl w:val="0"/>
                <w:lang w:val="zh-TW" w:eastAsia="zh-TW"/>
              </w:rPr>
              <w:t>。</w:t>
            </w:r>
          </w:p>
          <w:p w14:paraId="6D2465BA">
            <w:pPr>
              <w:framePr w:wrap="auto" w:vAnchor="margin" w:hAnchor="text" w:yAlign="inline"/>
              <w:bidi w:val="0"/>
              <w:ind w:left="0" w:right="0" w:firstLine="0"/>
              <w:jc w:val="both"/>
              <w:rPr>
                <w:rFonts w:hint="default" w:ascii="Times New Roman" w:hAnsi="Times New Roman" w:eastAsia="宋体" w:cs="Times New Roman"/>
                <w:b/>
                <w:bCs/>
                <w:shd w:val="clear" w:color="auto" w:fill="auto"/>
                <w:rtl w:val="0"/>
                <w:lang w:val="en-US" w:eastAsia="zh-CN"/>
              </w:rPr>
            </w:pPr>
            <w:r>
              <w:rPr>
                <w:rFonts w:ascii="Times New Roman" w:hAnsi="Times New Roman"/>
                <w:b/>
                <w:bCs/>
                <w:shd w:val="clear" w:color="auto" w:fill="auto"/>
                <w:rtl w:val="0"/>
                <w:lang w:val="en-US"/>
              </w:rPr>
              <w:t xml:space="preserve">6. </w:t>
            </w:r>
            <w:r>
              <w:rPr>
                <w:rFonts w:hint="eastAsia" w:eastAsia="宋体"/>
                <w:b/>
                <w:bCs/>
                <w:shd w:val="clear" w:color="auto" w:fill="auto"/>
                <w:rtl w:val="0"/>
                <w:lang w:val="zh-TW" w:eastAsia="zh-TW"/>
              </w:rPr>
              <w:t>评价</w:t>
            </w:r>
            <w:r>
              <w:rPr>
                <w:rFonts w:hint="eastAsia" w:eastAsia="宋体"/>
                <w:b/>
                <w:bCs/>
                <w:shd w:val="clear" w:color="auto" w:fill="auto"/>
                <w:rtl w:val="0"/>
                <w:lang w:val="en-US" w:eastAsia="zh-CN"/>
              </w:rPr>
              <w:t>体系与取值规则</w:t>
            </w:r>
          </w:p>
          <w:p w14:paraId="0459B3EF">
            <w:pPr>
              <w:framePr w:wrap="auto" w:vAnchor="margin" w:hAnchor="text" w:yAlign="inline"/>
              <w:bidi w:val="0"/>
              <w:ind w:left="0" w:right="0" w:firstLine="0"/>
              <w:jc w:val="both"/>
              <w:rPr>
                <w:rFonts w:ascii="Times New Roman" w:hAnsi="Times New Roman" w:eastAsia="Times New Roman" w:cs="Times New Roman"/>
                <w:shd w:val="clear" w:color="auto" w:fill="auto"/>
                <w:rtl w:val="0"/>
              </w:rPr>
            </w:pPr>
            <w:r>
              <w:rPr>
                <w:rFonts w:hint="eastAsia" w:eastAsia="宋体"/>
                <w:shd w:val="clear" w:color="auto" w:fill="auto"/>
                <w:rtl w:val="0"/>
                <w:lang w:val="zh-TW" w:eastAsia="zh-TW"/>
              </w:rPr>
              <w:t>包括了</w:t>
            </w:r>
            <w:r>
              <w:rPr>
                <w:rFonts w:hint="eastAsia" w:eastAsia="宋体"/>
                <w:shd w:val="clear" w:color="auto" w:fill="auto"/>
                <w:rtl w:val="0"/>
                <w:lang w:val="en-US" w:eastAsia="zh-CN"/>
              </w:rPr>
              <w:t>评价准则、</w:t>
            </w:r>
            <w:r>
              <w:rPr>
                <w:rFonts w:hint="eastAsia" w:eastAsia="宋体"/>
                <w:shd w:val="clear" w:color="auto" w:fill="auto"/>
                <w:rtl w:val="0"/>
                <w:lang w:val="zh-TW" w:eastAsia="zh-TW"/>
              </w:rPr>
              <w:t>指标体系构建、</w:t>
            </w:r>
            <w:r>
              <w:rPr>
                <w:rFonts w:hint="eastAsia" w:eastAsia="宋体"/>
                <w:shd w:val="clear" w:color="auto" w:fill="auto"/>
                <w:rtl w:val="0"/>
                <w:lang w:val="en-US" w:eastAsia="zh-CN"/>
              </w:rPr>
              <w:t>取值规则、星级划分</w:t>
            </w:r>
            <w:r>
              <w:rPr>
                <w:rFonts w:hint="eastAsia" w:eastAsia="宋体"/>
                <w:shd w:val="clear" w:color="auto" w:fill="auto"/>
                <w:rtl w:val="0"/>
                <w:lang w:val="zh-TW" w:eastAsia="zh-TW"/>
              </w:rPr>
              <w:t>等。</w:t>
            </w:r>
          </w:p>
          <w:p w14:paraId="2C76EA76">
            <w:pPr>
              <w:framePr w:wrap="auto" w:vAnchor="margin" w:hAnchor="text" w:yAlign="inline"/>
              <w:bidi w:val="0"/>
              <w:ind w:left="0" w:right="0" w:firstLine="0"/>
              <w:jc w:val="both"/>
              <w:rPr>
                <w:rFonts w:ascii="Times New Roman" w:hAnsi="Times New Roman" w:eastAsia="Times New Roman" w:cs="Times New Roman"/>
                <w:b/>
                <w:bCs/>
                <w:shd w:val="clear" w:color="auto" w:fill="auto"/>
                <w:rtl w:val="0"/>
              </w:rPr>
            </w:pPr>
            <w:r>
              <w:rPr>
                <w:rFonts w:ascii="Times New Roman" w:hAnsi="Times New Roman"/>
                <w:b/>
                <w:bCs/>
                <w:shd w:val="clear" w:color="auto" w:fill="auto"/>
                <w:rtl w:val="0"/>
                <w:lang w:val="en-US"/>
              </w:rPr>
              <w:t xml:space="preserve">7. </w:t>
            </w:r>
            <w:r>
              <w:rPr>
                <w:rFonts w:hint="eastAsia" w:eastAsia="宋体"/>
                <w:b/>
                <w:bCs/>
                <w:shd w:val="clear" w:color="auto" w:fill="auto"/>
                <w:rtl w:val="0"/>
                <w:lang w:val="zh-TW" w:eastAsia="zh-TW"/>
              </w:rPr>
              <w:t>评价报告</w:t>
            </w:r>
          </w:p>
          <w:p w14:paraId="12D11E33">
            <w:pPr>
              <w:framePr w:wrap="auto" w:vAnchor="margin" w:hAnchor="text" w:yAlign="inline"/>
              <w:bidi w:val="0"/>
              <w:ind w:left="0" w:right="0" w:firstLine="0"/>
              <w:jc w:val="both"/>
              <w:rPr>
                <w:rtl w:val="0"/>
              </w:rPr>
            </w:pPr>
            <w:r>
              <w:rPr>
                <w:rFonts w:hint="eastAsia" w:eastAsia="宋体"/>
                <w:shd w:val="clear" w:color="auto" w:fill="auto"/>
                <w:rtl w:val="0"/>
                <w:lang w:val="zh-TW" w:eastAsia="zh-TW"/>
              </w:rPr>
              <w:t>包括了评价报告的主要内容</w:t>
            </w:r>
            <w:r>
              <w:rPr>
                <w:rFonts w:hint="eastAsia" w:ascii="黑体" w:hAnsi="黑体" w:eastAsia="黑体" w:cs="黑体"/>
                <w:shd w:val="clear" w:color="auto" w:fill="auto"/>
                <w:rtl w:val="0"/>
                <w:lang w:val="zh-TW" w:eastAsia="zh-TW"/>
              </w:rPr>
              <w:t>。</w:t>
            </w:r>
          </w:p>
        </w:tc>
      </w:tr>
      <w:tr w14:paraId="7DF0613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290" w:hRule="atLeast"/>
          <w:jc w:val="center"/>
        </w:trPr>
        <w:tc>
          <w:tcPr>
            <w:tcW w:w="9384"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DFFD250">
            <w:pPr>
              <w:framePr w:wrap="auto" w:vAnchor="margin" w:hAnchor="text" w:yAlign="inline"/>
              <w:jc w:val="center"/>
            </w:pPr>
            <w:r>
              <w:rPr>
                <w:rFonts w:hint="eastAsia" w:eastAsia="宋体"/>
                <w:sz w:val="28"/>
                <w:szCs w:val="28"/>
                <w:shd w:val="clear" w:color="auto" w:fill="auto"/>
                <w:rtl w:val="0"/>
                <w:lang w:val="zh-TW" w:eastAsia="zh-TW"/>
              </w:rPr>
              <w:t>与现行法律法规、强制性标准和其他有关标准的关系</w:t>
            </w:r>
          </w:p>
        </w:tc>
      </w:tr>
      <w:tr w14:paraId="416524E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610" w:hRule="atLeast"/>
          <w:jc w:val="center"/>
        </w:trPr>
        <w:tc>
          <w:tcPr>
            <w:tcW w:w="177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256" w:type="dxa"/>
            </w:tcMar>
            <w:vAlign w:val="center"/>
          </w:tcPr>
          <w:p w14:paraId="7E5CBD48">
            <w:pPr>
              <w:framePr w:wrap="auto" w:vAnchor="margin" w:hAnchor="text" w:yAlign="inline"/>
              <w:ind w:right="176"/>
              <w:jc w:val="center"/>
            </w:pPr>
            <w:r>
              <w:rPr>
                <w:rFonts w:hint="eastAsia" w:eastAsia="宋体"/>
                <w:shd w:val="clear" w:color="auto" w:fill="auto"/>
                <w:rtl w:val="0"/>
                <w:lang w:val="zh-TW" w:eastAsia="zh-TW"/>
              </w:rPr>
              <w:t>法律法规和强制性标准的关系</w:t>
            </w:r>
          </w:p>
        </w:tc>
        <w:tc>
          <w:tcPr>
            <w:tcW w:w="7611"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C2D81E0">
            <w:pPr>
              <w:framePr w:wrap="auto" w:vAnchor="margin" w:hAnchor="text" w:yAlign="inline"/>
              <w:ind w:firstLine="304"/>
            </w:pPr>
            <w:r>
              <w:rPr>
                <w:rFonts w:hint="eastAsia" w:eastAsia="宋体"/>
                <w:shd w:val="clear" w:color="auto" w:fill="auto"/>
                <w:rtl w:val="0"/>
                <w:lang w:val="zh-TW" w:eastAsia="zh-TW"/>
              </w:rPr>
              <w:t>在标准制定过程中，通过充分调研，注意与现有的有关的国际标准、国际组织标准以及国家和地方标准的协调一致。</w:t>
            </w:r>
          </w:p>
        </w:tc>
      </w:tr>
      <w:tr w14:paraId="4BD6A39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410" w:hRule="atLeast"/>
          <w:jc w:val="center"/>
        </w:trPr>
        <w:tc>
          <w:tcPr>
            <w:tcW w:w="177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256" w:type="dxa"/>
            </w:tcMar>
            <w:vAlign w:val="center"/>
          </w:tcPr>
          <w:p w14:paraId="6C0DD809">
            <w:pPr>
              <w:framePr w:wrap="auto" w:vAnchor="margin" w:hAnchor="text" w:yAlign="inline"/>
              <w:ind w:right="176"/>
              <w:jc w:val="center"/>
            </w:pPr>
            <w:r>
              <w:rPr>
                <w:rFonts w:hint="eastAsia" w:eastAsia="宋体"/>
                <w:shd w:val="clear" w:color="auto" w:fill="auto"/>
                <w:rtl w:val="0"/>
                <w:lang w:val="zh-TW" w:eastAsia="zh-TW"/>
              </w:rPr>
              <w:t>与其他有关标准的关系</w:t>
            </w:r>
          </w:p>
        </w:tc>
        <w:tc>
          <w:tcPr>
            <w:tcW w:w="7611"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855DBC0"/>
        </w:tc>
      </w:tr>
      <w:tr w14:paraId="26D9AF9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290" w:hRule="atLeast"/>
          <w:jc w:val="center"/>
        </w:trPr>
        <w:tc>
          <w:tcPr>
            <w:tcW w:w="9384"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78E5AED">
            <w:pPr>
              <w:framePr w:wrap="auto" w:vAnchor="margin" w:hAnchor="text" w:yAlign="inline"/>
              <w:jc w:val="center"/>
            </w:pPr>
            <w:r>
              <w:rPr>
                <w:rFonts w:hint="eastAsia" w:eastAsia="宋体"/>
                <w:sz w:val="28"/>
                <w:szCs w:val="28"/>
                <w:shd w:val="clear" w:color="auto" w:fill="auto"/>
                <w:rtl w:val="0"/>
                <w:lang w:val="zh-TW" w:eastAsia="zh-TW"/>
              </w:rPr>
              <w:t>征求意见的情况及处理结果和依据</w:t>
            </w:r>
          </w:p>
        </w:tc>
      </w:tr>
      <w:tr w14:paraId="0E214F8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881" w:hRule="atLeast"/>
          <w:jc w:val="center"/>
        </w:trPr>
        <w:tc>
          <w:tcPr>
            <w:tcW w:w="9384"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56D28FA">
            <w:pPr>
              <w:framePr w:wrap="auto" w:vAnchor="margin" w:hAnchor="text" w:yAlign="inline"/>
              <w:rPr>
                <w:rFonts w:ascii="Times New Roman" w:hAnsi="Times New Roman" w:eastAsia="Times New Roman" w:cs="Times New Roman"/>
                <w:shd w:val="clear" w:color="auto" w:fill="auto"/>
                <w:lang w:val="en-US"/>
              </w:rPr>
            </w:pPr>
          </w:p>
          <w:p w14:paraId="1CAB1061">
            <w:pPr>
              <w:framePr w:wrap="auto" w:vAnchor="margin" w:hAnchor="text" w:yAlign="inline"/>
              <w:rPr>
                <w:rFonts w:ascii="Times New Roman" w:hAnsi="Times New Roman" w:eastAsia="Times New Roman" w:cs="Times New Roman"/>
                <w:shd w:val="clear" w:color="auto" w:fill="auto"/>
                <w:lang w:val="en-US"/>
              </w:rPr>
            </w:pPr>
          </w:p>
          <w:p w14:paraId="4544F67B">
            <w:pPr>
              <w:framePr w:wrap="auto" w:vAnchor="margin" w:hAnchor="text" w:yAlign="inline"/>
            </w:pPr>
          </w:p>
        </w:tc>
      </w:tr>
      <w:tr w14:paraId="5DDC0A9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290" w:hRule="atLeast"/>
          <w:jc w:val="center"/>
        </w:trPr>
        <w:tc>
          <w:tcPr>
            <w:tcW w:w="9384"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F43A045">
            <w:pPr>
              <w:framePr w:wrap="auto" w:vAnchor="margin" w:hAnchor="text" w:yAlign="inline"/>
              <w:jc w:val="center"/>
            </w:pPr>
            <w:r>
              <w:rPr>
                <w:rFonts w:hint="eastAsia" w:eastAsia="宋体"/>
                <w:sz w:val="28"/>
                <w:szCs w:val="28"/>
                <w:shd w:val="clear" w:color="auto" w:fill="auto"/>
                <w:rtl w:val="0"/>
                <w:lang w:val="zh-TW" w:eastAsia="zh-TW"/>
              </w:rPr>
              <w:t>贯彻该标准的要求和措施建议</w:t>
            </w:r>
          </w:p>
        </w:tc>
      </w:tr>
      <w:tr w14:paraId="0BD6D59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10" w:type="dxa"/>
            <w:bottom w:w="0" w:type="dxa"/>
            <w:right w:w="10" w:type="dxa"/>
          </w:tblCellMar>
        </w:tblPrEx>
        <w:trPr>
          <w:trHeight w:val="1101" w:hRule="atLeast"/>
          <w:jc w:val="center"/>
        </w:trPr>
        <w:tc>
          <w:tcPr>
            <w:tcW w:w="9384"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3FDFB8B">
            <w:pPr>
              <w:framePr w:wrap="auto" w:vAnchor="margin" w:hAnchor="text" w:yAlign="inline"/>
              <w:rPr>
                <w:rFonts w:ascii="Times New Roman" w:hAnsi="Times New Roman" w:eastAsia="Times New Roman" w:cs="Times New Roman"/>
                <w:shd w:val="clear" w:color="auto" w:fill="auto"/>
                <w:lang w:val="en-US"/>
              </w:rPr>
            </w:pPr>
          </w:p>
          <w:p w14:paraId="008CF623">
            <w:pPr>
              <w:framePr w:wrap="auto" w:vAnchor="margin" w:hAnchor="text" w:yAlign="inline"/>
              <w:rPr>
                <w:rFonts w:ascii="Times New Roman" w:hAnsi="Times New Roman" w:eastAsia="Times New Roman" w:cs="Times New Roman"/>
                <w:shd w:val="clear" w:color="auto" w:fill="auto"/>
                <w:lang w:val="en-US"/>
              </w:rPr>
            </w:pPr>
          </w:p>
          <w:p w14:paraId="11FD10BB">
            <w:pPr>
              <w:framePr w:wrap="auto" w:vAnchor="margin" w:hAnchor="text" w:yAlign="inline"/>
              <w:rPr>
                <w:rFonts w:ascii="Times New Roman" w:hAnsi="Times New Roman" w:eastAsia="Times New Roman" w:cs="Times New Roman"/>
                <w:shd w:val="clear" w:color="auto" w:fill="auto"/>
                <w:lang w:val="en-US"/>
              </w:rPr>
            </w:pPr>
          </w:p>
          <w:p w14:paraId="7045AE72">
            <w:pPr>
              <w:framePr w:wrap="auto" w:vAnchor="margin" w:hAnchor="text" w:yAlign="inline"/>
            </w:pPr>
          </w:p>
        </w:tc>
      </w:tr>
    </w:tbl>
    <w:p w14:paraId="01AEFE5B">
      <w:pPr>
        <w:framePr w:wrap="auto" w:vAnchor="margin" w:hAnchor="text" w:yAlign="inline"/>
        <w:jc w:val="center"/>
      </w:pPr>
    </w:p>
    <w:sectPr>
      <w:headerReference r:id="rId5" w:type="default"/>
      <w:footerReference r:id="rId6" w:type="default"/>
      <w:pgSz w:w="11900" w:h="16840"/>
      <w:pgMar w:top="1440" w:right="1800" w:bottom="1440" w:left="1800"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 w:name="PingFang SC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altName w:val="宋体"/>
    <w:panose1 w:val="00000000000000000000"/>
    <w:charset w:val="86"/>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F3E87">
    <w:pPr>
      <w:pStyle w:val="2"/>
      <w:framePr w:wrap="auto" w:vAnchor="margin" w:hAnchor="text" w:yAlign="inline"/>
      <w:tabs>
        <w:tab w:val="right" w:pos="8280"/>
        <w:tab w:val="clear" w:pos="8306"/>
      </w:tabs>
      <w:jc w:val="center"/>
    </w:pPr>
    <w:r>
      <w:rPr>
        <w:rtl w:val="0"/>
        <w:lang w:val="zh-TW" w:eastAsia="zh-TW"/>
      </w:rPr>
      <w:t xml:space="preserve"> </w:t>
    </w:r>
    <w:r>
      <w:rPr>
        <w:rFonts w:ascii="等线" w:hAnsi="等线" w:eastAsia="等线" w:cs="等线"/>
        <w:b/>
        <w:bCs/>
        <w:rtl w:val="0"/>
        <w:lang w:val="en-US"/>
      </w:rPr>
      <w:fldChar w:fldCharType="begin"/>
    </w:r>
    <w:r>
      <w:rPr>
        <w:rFonts w:ascii="等线" w:hAnsi="等线" w:eastAsia="等线" w:cs="等线"/>
        <w:b/>
        <w:bCs/>
        <w:rtl w:val="0"/>
        <w:lang w:val="en-US"/>
      </w:rPr>
      <w:instrText xml:space="preserve"> PAGE </w:instrText>
    </w:r>
    <w:r>
      <w:rPr>
        <w:rFonts w:ascii="等线" w:hAnsi="等线" w:eastAsia="等线" w:cs="等线"/>
        <w:b/>
        <w:bCs/>
        <w:rtl w:val="0"/>
        <w:lang w:val="en-US"/>
      </w:rPr>
      <w:fldChar w:fldCharType="separate"/>
    </w:r>
    <w:r>
      <w:rPr>
        <w:rFonts w:ascii="等线" w:hAnsi="等线" w:eastAsia="等线" w:cs="等线"/>
        <w:b/>
        <w:bCs/>
        <w:rtl w:val="0"/>
        <w:lang w:val="en-US"/>
      </w:rPr>
      <w:fldChar w:fldCharType="end"/>
    </w:r>
    <w:r>
      <w:rPr>
        <w:rtl w:val="0"/>
        <w:lang w:val="zh-TW" w:eastAsia="zh-TW"/>
      </w:rPr>
      <w:t xml:space="preserve"> / </w:t>
    </w:r>
    <w:r>
      <w:rPr>
        <w:rFonts w:ascii="等线" w:hAnsi="等线" w:eastAsia="等线" w:cs="等线"/>
        <w:b/>
        <w:bCs/>
        <w:rtl w:val="0"/>
        <w:lang w:val="en-US"/>
      </w:rPr>
      <w:fldChar w:fldCharType="begin"/>
    </w:r>
    <w:r>
      <w:rPr>
        <w:rFonts w:ascii="等线" w:hAnsi="等线" w:eastAsia="等线" w:cs="等线"/>
        <w:b/>
        <w:bCs/>
        <w:rtl w:val="0"/>
        <w:lang w:val="en-US"/>
      </w:rPr>
      <w:instrText xml:space="preserve"> NUMPAGES </w:instrText>
    </w:r>
    <w:r>
      <w:rPr>
        <w:rFonts w:ascii="等线" w:hAnsi="等线" w:eastAsia="等线" w:cs="等线"/>
        <w:b/>
        <w:bCs/>
        <w:rtl w:val="0"/>
        <w:lang w:val="en-US"/>
      </w:rPr>
      <w:fldChar w:fldCharType="separate"/>
    </w:r>
    <w:r>
      <w:rPr>
        <w:rFonts w:ascii="等线" w:hAnsi="等线" w:eastAsia="等线" w:cs="等线"/>
        <w:b/>
        <w:bCs/>
        <w:rtl w:val="0"/>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DD200">
    <w:pPr>
      <w:pStyle w:val="7"/>
      <w:framePr w:wrap="auto" w:vAnchor="margin" w:hAnchor="text" w:yAlign="inline"/>
      <w:bidi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FF65C8"/>
    <w:multiLevelType w:val="singleLevel"/>
    <w:tmpl w:val="41FF65C8"/>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0"/>
  <w:bordersDoNotSurroundFooter w:val="0"/>
  <w:documentProtection w:enforcement="0"/>
  <w:defaultTabStop w:val="420"/>
  <w:displayHorizontalDrawingGridEvery w:val="1"/>
  <w:displayVerticalDrawingGridEvery w:val="1"/>
  <w:noPunctuationKerning w:val="1"/>
  <w:noLineBreaksAfter w:lang="zh-CN" w:val="‘“(〔[{〈《「『【⦅〘〖«〝︵︷︹︻︽︿﹁﹃﹇﹙﹛﹝｢"/>
  <w:noLineBreaksBefore w:lang="zh-CN" w:val="’”)〕]}〉"/>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
  <w:rsids>
    <w:rsidRoot w:val="00000000"/>
    <w:rsid w:val="05CF1E17"/>
    <w:rsid w:val="23D3375A"/>
    <w:rsid w:val="27C350C6"/>
    <w:rsid w:val="39FE5653"/>
    <w:rsid w:val="474D1675"/>
    <w:rsid w:val="6D3168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ascii="等线" w:hAnsi="等线" w:eastAsia="等线" w:cs="等线"/>
      <w:color w:val="000000"/>
      <w:spacing w:val="0"/>
      <w:w w:val="100"/>
      <w:kern w:val="2"/>
      <w:position w:val="0"/>
      <w:sz w:val="21"/>
      <w:szCs w:val="21"/>
      <w:u w:val="none" w:color="000000"/>
      <w:shd w:val="clear" w:color="auto" w:fill="auto"/>
      <w:vertAlign w:val="baseline"/>
      <w:lang w:val="en-US"/>
    </w:rPr>
  </w:style>
  <w:style w:type="character" w:default="1" w:styleId="4">
    <w:name w:val="Default Paragraph Font"/>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center" w:pos="4153"/>
        <w:tab w:val="right" w:pos="8306"/>
      </w:tabs>
      <w:suppressAutoHyphens w:val="0"/>
      <w:bidi w:val="0"/>
      <w:spacing w:before="0" w:beforeAutospacing="0" w:after="0" w:afterAutospacing="0" w:line="240" w:lineRule="auto"/>
      <w:ind w:left="0" w:right="0" w:firstLine="0"/>
      <w:jc w:val="left"/>
      <w:outlineLvl w:val="9"/>
    </w:pPr>
    <w:rPr>
      <w:rFonts w:ascii="等线" w:hAnsi="等线" w:eastAsia="等线" w:cs="等线"/>
      <w:color w:val="000000"/>
      <w:spacing w:val="0"/>
      <w:w w:val="100"/>
      <w:kern w:val="2"/>
      <w:position w:val="0"/>
      <w:sz w:val="18"/>
      <w:szCs w:val="18"/>
      <w:u w:val="none" w:color="000000"/>
      <w:shd w:val="clear" w:color="auto" w:fill="auto"/>
      <w:vertAlign w:val="baseline"/>
      <w:lang w:val="en-US"/>
    </w:rPr>
  </w:style>
  <w:style w:type="character" w:styleId="5">
    <w:name w:val="Hyperlink"/>
    <w:qFormat/>
    <w:uiPriority w:val="0"/>
    <w:rPr>
      <w:u w:val="single"/>
    </w:rPr>
  </w:style>
  <w:style w:type="table" w:customStyle="1" w:styleId="6">
    <w:name w:val="Table Normal"/>
    <w:qFormat/>
    <w:uiPriority w:val="0"/>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7">
    <w:name w:val="页眉与页脚"/>
    <w:qFormat/>
    <w:uiPriority w:val="0"/>
    <w:pPr>
      <w:keepNext w:val="0"/>
      <w:keepLines w:val="0"/>
      <w:pageBreakBefore w:val="0"/>
      <w:framePr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right" w:pos="9020"/>
      </w:tabs>
      <w:suppressAutoHyphens w:val="0"/>
      <w:bidi w:val="0"/>
      <w:spacing w:before="0" w:beforeAutospacing="0" w:after="0" w:afterAutospacing="0" w:line="240" w:lineRule="auto"/>
      <w:ind w:left="0" w:right="0" w:firstLine="0"/>
      <w:jc w:val="left"/>
      <w:outlineLvl w:val="9"/>
    </w:pPr>
    <w:rPr>
      <w:rFonts w:ascii="PingFang SC Regular" w:hAnsi="PingFang SC Regular" w:eastAsia="Arial Unicode MS" w:cs="Arial Unicode MS"/>
      <w:color w:val="000000"/>
      <w:spacing w:val="0"/>
      <w:w w:val="100"/>
      <w:kern w:val="0"/>
      <w:position w:val="0"/>
      <w:sz w:val="24"/>
      <w:szCs w:val="24"/>
      <w:u w:val="none" w:color="auto"/>
      <w:shd w:val="clear" w:color="auto" w:fill="auto"/>
      <w:vertAlign w:val="baseline"/>
    </w:rPr>
  </w:style>
  <w:style w:type="paragraph" w:customStyle="1" w:styleId="8">
    <w:name w:val="段"/>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center" w:pos="4201"/>
        <w:tab w:val="right" w:leader="dot" w:pos="9298"/>
      </w:tabs>
      <w:suppressAutoHyphens w:val="0"/>
      <w:bidi w:val="0"/>
      <w:spacing w:before="0" w:beforeAutospacing="0" w:after="0" w:afterAutospacing="0" w:line="240" w:lineRule="auto"/>
      <w:ind w:left="0" w:right="0" w:firstLine="420"/>
      <w:jc w:val="both"/>
      <w:outlineLvl w:val="9"/>
    </w:pPr>
    <w:rPr>
      <w:rFonts w:ascii="宋体" w:hAnsi="宋体" w:eastAsia="Arial Unicode MS" w:cs="Arial Unicode MS"/>
      <w:color w:val="000000"/>
      <w:spacing w:val="0"/>
      <w:w w:val="100"/>
      <w:kern w:val="0"/>
      <w:position w:val="0"/>
      <w:sz w:val="21"/>
      <w:szCs w:val="21"/>
      <w:u w:val="none" w:color="000000"/>
      <w:shd w:val="clear" w:color="auto" w:fill="auto"/>
      <w:vertAlign w:val="baseline"/>
      <w:lang w:val="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主题​​">
      <a:majorFont>
        <a:latin typeface="PingFang SC Semibold"/>
        <a:ea typeface="PingFang SC Semibold"/>
        <a:cs typeface="PingFang SC Semibold"/>
      </a:majorFont>
      <a:minorFont>
        <a:latin typeface="PingFang SC Regular"/>
        <a:ea typeface="PingFang SC Regular"/>
        <a:cs typeface="PingFang SC Regular"/>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spPr>
      <a:bodyPr rot="0" spcFirstLastPara="1" vertOverflow="overflow" horzOverflow="overflow" vert="horz" wrap="square" lIns="45719" tIns="45719" rIns="45719" bIns="45719" numCol="1" spcCol="38100" rtlCol="0" anchor="ctr" upright="0">
        <a:spAutoFit/>
      </a:bodyPr>
      <a:lstStyle/>
      <a:style>
        <a:lnRef idx="0">
          <a:srgbClr val="FFFFFF"/>
        </a:lnRef>
        <a:fillRef idx="0">
          <a:srgbClr val="FFFFFF"/>
        </a:fillRef>
        <a:effectRef idx="0">
          <a:srgbClr val="FFFFFF"/>
        </a:effectRef>
        <a:fontRef idx="none"/>
      </a:style>
    </a:spDef>
    <a:lnDef>
      <a:spPr>
        <a:noFill/>
        <a:ln w="12700" cap="flat">
          <a:solidFill>
            <a:schemeClr val="accent1"/>
          </a:solidFill>
          <a:prstDash val="solid"/>
          <a:miter lim="800000"/>
        </a:ln>
      </a:spPr>
      <a:bodyPr rot="0" spcFirstLastPara="1" vertOverflow="overflow" horzOverflow="overflow" vert="horz" wrap="square" lIns="91439" tIns="45719" rIns="91439" bIns="45719" numCol="1" spcCol="38100" rtlCol="0" anchor="t" upright="0">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9" tIns="45719" rIns="45719" bIns="45719" numCol="1" spcCol="38100" rtlCol="0" anchor="t" upright="0">
        <a:spAutoFit/>
      </a:bodyPr>
      <a:lstStyle/>
      <a:style>
        <a:lnRef idx="0">
          <a:srgbClr val="FFFFFF"/>
        </a:lnRef>
        <a:fillRef idx="0">
          <a:srgbClr val="FFFFFF"/>
        </a:fillRef>
        <a:effectRef idx="0">
          <a:srgbClr val="FFFFFF"/>
        </a:effectRef>
        <a:fontRef idx="none"/>
      </a:style>
    </a:txDef>
  </a:objectDefaults>
</a:theme>
</file>

<file path=docProps/app.xml><?xml version="1.0" encoding="utf-8"?>
<Properties xmlns="http://schemas.openxmlformats.org/officeDocument/2006/extended-properties" xmlns:vt="http://schemas.openxmlformats.org/officeDocument/2006/docPropsVTypes">
  <Pages>3</Pages>
  <Words>2561</Words>
  <Characters>2744</Characters>
  <TotalTime>14</TotalTime>
  <ScaleCrop>false</ScaleCrop>
  <LinksUpToDate>false</LinksUpToDate>
  <CharactersWithSpaces>2800</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2025-10-27T07:43:00Z</dcterms:created>
  <dc:creator>Administrator</dc:creator>
  <cp:lastModifiedBy>李志军</cp:lastModifiedBy>
  <dcterms:modified xsi:type="dcterms:W3CDTF">2025-10-29T06:25:42Z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4C3465748B67471FB5B27023DB4829A7_13</vt:lpwstr>
  </property>
  <property fmtid="{D5CDD505-2E9C-101B-9397-08002B2CF9AE}" pid="4" name="KSOTemplateDocerSaveRecord">
    <vt:lpwstr>eyJoZGlkIjoiOWE1ZTNiMDZhNTE0ZmI4NDAxYjM5ZTAxNWM0OGMzMDYiLCJ1c2VySWQiOiIzNTU4MTg1NzIifQ==</vt:lpwstr>
  </property>
</Properties>
</file>